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E10330" w14:textId="2B8F56C9" w:rsidR="00EF7703" w:rsidRPr="00EF7703" w:rsidRDefault="00A023C8" w:rsidP="00EF7703">
      <w:pPr>
        <w:widowControl/>
        <w:rPr>
          <w:rFonts w:ascii="Times New Roman" w:hAnsi="Times New Roman"/>
          <w:snapToGrid/>
        </w:rPr>
      </w:pPr>
      <w:r>
        <w:rPr>
          <w:noProof/>
          <w:snapToGrid/>
        </w:rPr>
        <w:drawing>
          <wp:inline distT="0" distB="0" distL="0" distR="0" wp14:anchorId="35011B23" wp14:editId="5379F2E9">
            <wp:extent cx="2943225" cy="771525"/>
            <wp:effectExtent l="0" t="0" r="9525" b="9525"/>
            <wp:docPr id="3" name="Picture 3" descr="P:\CHHS_PA_Share\Program Information, website, info session, newsletter, orientation, graduation, meeting minutes\Policy manual\Policies 2023-2024\CHHS_PhysicianAssis_black_horz.png"/>
            <wp:cNvGraphicFramePr/>
            <a:graphic xmlns:a="http://schemas.openxmlformats.org/drawingml/2006/main">
              <a:graphicData uri="http://schemas.openxmlformats.org/drawingml/2006/picture">
                <pic:pic xmlns:pic="http://schemas.openxmlformats.org/drawingml/2006/picture">
                  <pic:nvPicPr>
                    <pic:cNvPr id="3" name="Picture 3" descr="P:\CHHS_PA_Share\Program Information, website, info session, newsletter, orientation, graduation, meeting minutes\Policy manual\Policies 2023-2024\CHHS_PhysicianAssis_black_horz.pn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43225" cy="771525"/>
                    </a:xfrm>
                    <a:prstGeom prst="rect">
                      <a:avLst/>
                    </a:prstGeom>
                    <a:noFill/>
                    <a:ln>
                      <a:noFill/>
                    </a:ln>
                  </pic:spPr>
                </pic:pic>
              </a:graphicData>
            </a:graphic>
          </wp:inline>
        </w:drawing>
      </w:r>
    </w:p>
    <w:p w14:paraId="2E4410D2" w14:textId="77777777" w:rsidR="00EF7703" w:rsidRPr="00EF7703" w:rsidRDefault="00EF7703" w:rsidP="00EF7703">
      <w:pPr>
        <w:widowControl/>
        <w:rPr>
          <w:rFonts w:ascii="Times New Roman" w:hAnsi="Times New Roman"/>
          <w:snapToGrid/>
        </w:rPr>
      </w:pPr>
    </w:p>
    <w:p w14:paraId="1A4FA923" w14:textId="77777777" w:rsidR="00BB0DB9" w:rsidRPr="00BB0DB9" w:rsidRDefault="00EF7703" w:rsidP="00BB0DB9">
      <w:pPr>
        <w:pStyle w:val="Heading2"/>
        <w:spacing w:line="300" w:lineRule="atLeast"/>
        <w:rPr>
          <w:rFonts w:asciiTheme="minorHAnsi" w:eastAsia="Times New Roman" w:hAnsiTheme="minorHAnsi" w:cstheme="minorHAnsi"/>
          <w:b/>
          <w:bCs/>
          <w:snapToGrid/>
          <w:color w:val="auto"/>
          <w:sz w:val="22"/>
          <w:szCs w:val="22"/>
        </w:rPr>
      </w:pPr>
      <w:r w:rsidRPr="00BB0DB9">
        <w:rPr>
          <w:rFonts w:asciiTheme="minorHAnsi" w:hAnsiTheme="minorHAnsi" w:cstheme="minorHAnsi"/>
          <w:color w:val="000000" w:themeColor="text1"/>
          <w:sz w:val="22"/>
          <w:szCs w:val="22"/>
        </w:rPr>
        <w:t>Policy Name:</w:t>
      </w:r>
      <w:r w:rsidRPr="00BB0DB9">
        <w:rPr>
          <w:rFonts w:asciiTheme="minorHAnsi" w:hAnsiTheme="minorHAnsi" w:cstheme="minorHAnsi"/>
          <w:b/>
          <w:snapToGrid/>
          <w:color w:val="000000" w:themeColor="text1"/>
          <w:sz w:val="22"/>
          <w:szCs w:val="22"/>
        </w:rPr>
        <w:t xml:space="preserve">  </w:t>
      </w:r>
      <w:r w:rsidR="00BB0DB9" w:rsidRPr="00BB0DB9">
        <w:rPr>
          <w:rFonts w:asciiTheme="minorHAnsi" w:eastAsia="Times New Roman" w:hAnsiTheme="minorHAnsi" w:cstheme="minorHAnsi"/>
          <w:b/>
          <w:bCs/>
          <w:snapToGrid/>
          <w:color w:val="auto"/>
          <w:sz w:val="22"/>
          <w:szCs w:val="22"/>
        </w:rPr>
        <w:t>Student Health, Immunization, Health Screening, and Exposure to Infectious and Environmental Hazards Policy</w:t>
      </w:r>
    </w:p>
    <w:p w14:paraId="7D186F77" w14:textId="77777777"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b/>
          <w:bCs/>
          <w:snapToGrid/>
          <w:sz w:val="22"/>
          <w:szCs w:val="22"/>
        </w:rPr>
        <w:t>ARC-PA Standard:</w:t>
      </w:r>
      <w:r w:rsidRPr="00BB0DB9">
        <w:rPr>
          <w:rFonts w:asciiTheme="minorHAnsi" w:hAnsiTheme="minorHAnsi" w:cstheme="minorHAnsi"/>
          <w:snapToGrid/>
          <w:sz w:val="22"/>
          <w:szCs w:val="22"/>
        </w:rPr>
        <w:t xml:space="preserve"> A3.09</w:t>
      </w:r>
    </w:p>
    <w:p w14:paraId="2D791A93" w14:textId="77777777" w:rsidR="00BB0DB9" w:rsidRPr="00BB0DB9" w:rsidRDefault="00BB0DB9" w:rsidP="00BB0DB9">
      <w:pPr>
        <w:pStyle w:val="NoSpacing"/>
        <w:rPr>
          <w:rFonts w:asciiTheme="minorHAnsi" w:hAnsiTheme="minorHAnsi" w:cstheme="minorHAnsi"/>
          <w:snapToGrid/>
          <w:sz w:val="22"/>
          <w:szCs w:val="22"/>
        </w:rPr>
      </w:pPr>
      <w:r w:rsidRPr="00BB0DB9">
        <w:rPr>
          <w:rFonts w:asciiTheme="minorHAnsi" w:hAnsiTheme="minorHAnsi" w:cstheme="minorHAnsi"/>
          <w:snapToGrid/>
          <w:sz w:val="22"/>
          <w:szCs w:val="22"/>
        </w:rPr>
        <w:t>Policy Statement</w:t>
      </w:r>
    </w:p>
    <w:p w14:paraId="19FD33ED" w14:textId="1BD38D06"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The Western Michigan University Physician Assistant Program is committed to protecting the health and safety of students, patients, faculty, staff, and the public. Students participating in didactic education, laboratory instruction, simulation activities, and supervised clinical practice experiences may be exposed to infectious diseases, bloodborne pathogens, radiation, chemicals, and other environmental hazards encountered in healthcare settings. Students are required to maintain compliance with all health, immunization, screening, and safety requirements throughout enrollment in the program. </w:t>
      </w:r>
    </w:p>
    <w:p w14:paraId="21BDB941" w14:textId="77777777" w:rsidR="00BB0DB9" w:rsidRPr="00BB0DB9" w:rsidRDefault="00BB0DB9" w:rsidP="00BB0DB9">
      <w:pPr>
        <w:widowControl/>
        <w:spacing w:before="100" w:beforeAutospacing="1" w:after="100" w:afterAutospacing="1" w:line="300" w:lineRule="atLeast"/>
        <w:outlineLvl w:val="1"/>
        <w:rPr>
          <w:rFonts w:asciiTheme="minorHAnsi" w:hAnsiTheme="minorHAnsi" w:cstheme="minorHAnsi"/>
          <w:b/>
          <w:bCs/>
          <w:snapToGrid/>
          <w:sz w:val="22"/>
          <w:szCs w:val="22"/>
        </w:rPr>
      </w:pPr>
      <w:r w:rsidRPr="00BB0DB9">
        <w:rPr>
          <w:rFonts w:asciiTheme="minorHAnsi" w:hAnsiTheme="minorHAnsi" w:cstheme="minorHAnsi"/>
          <w:b/>
          <w:bCs/>
          <w:snapToGrid/>
          <w:sz w:val="22"/>
          <w:szCs w:val="22"/>
        </w:rPr>
        <w:t>Student Health Requirements</w:t>
      </w:r>
    </w:p>
    <w:p w14:paraId="0678C843" w14:textId="77777777"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Students are required to:</w:t>
      </w:r>
    </w:p>
    <w:p w14:paraId="62A7570E" w14:textId="03480452" w:rsidR="00BB0DB9" w:rsidRPr="00BB0DB9" w:rsidRDefault="00BB0DB9" w:rsidP="00BB0DB9">
      <w:pPr>
        <w:widowControl/>
        <w:numPr>
          <w:ilvl w:val="0"/>
          <w:numId w:val="8"/>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Maintain personal health insurance throughout enrollment in the program. </w:t>
      </w:r>
    </w:p>
    <w:p w14:paraId="48C38E13" w14:textId="641B2529" w:rsidR="00BB0DB9" w:rsidRPr="00BB0DB9" w:rsidRDefault="00BB0DB9" w:rsidP="00BB0DB9">
      <w:pPr>
        <w:widowControl/>
        <w:numPr>
          <w:ilvl w:val="0"/>
          <w:numId w:val="8"/>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Provide documentation of medical clearance indicating they are free from physical or mental health conditions that may place patients at risk or interfere with their ability to perform the essential functions of PA education and practice. </w:t>
      </w:r>
    </w:p>
    <w:p w14:paraId="112E4E84" w14:textId="006D73A2" w:rsidR="00BB0DB9" w:rsidRPr="00BB0DB9" w:rsidRDefault="00BB0DB9" w:rsidP="00BB0DB9">
      <w:pPr>
        <w:widowControl/>
        <w:numPr>
          <w:ilvl w:val="0"/>
          <w:numId w:val="8"/>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Complete all required drug screening requirements. </w:t>
      </w:r>
    </w:p>
    <w:p w14:paraId="3886C8BD" w14:textId="6B145AC4" w:rsidR="00BB0DB9" w:rsidRPr="00BB0DB9" w:rsidRDefault="00BB0DB9" w:rsidP="00BB0DB9">
      <w:pPr>
        <w:widowControl/>
        <w:numPr>
          <w:ilvl w:val="0"/>
          <w:numId w:val="8"/>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Complete all required tuberculosis screening prior to </w:t>
      </w:r>
      <w:r w:rsidR="000B770C">
        <w:rPr>
          <w:rFonts w:asciiTheme="minorHAnsi" w:hAnsiTheme="minorHAnsi" w:cstheme="minorHAnsi"/>
          <w:snapToGrid/>
          <w:sz w:val="22"/>
          <w:szCs w:val="22"/>
        </w:rPr>
        <w:t>October 1 of the didactic year</w:t>
      </w:r>
      <w:r w:rsidRPr="00BB0DB9">
        <w:rPr>
          <w:rFonts w:asciiTheme="minorHAnsi" w:hAnsiTheme="minorHAnsi" w:cstheme="minorHAnsi"/>
          <w:snapToGrid/>
          <w:sz w:val="22"/>
          <w:szCs w:val="22"/>
        </w:rPr>
        <w:t xml:space="preserve"> and annually thereafter. </w:t>
      </w:r>
    </w:p>
    <w:p w14:paraId="25CFC9A3" w14:textId="0A9F2D0F" w:rsidR="00BB0DB9" w:rsidRPr="00BB0DB9" w:rsidRDefault="00BB0DB9" w:rsidP="00BB0DB9">
      <w:pPr>
        <w:widowControl/>
        <w:numPr>
          <w:ilvl w:val="0"/>
          <w:numId w:val="8"/>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Report any condition that may impair their ability to safely perform required educational or clinical activities so that appropriate accommodations may be considered. </w:t>
      </w:r>
    </w:p>
    <w:p w14:paraId="60929469" w14:textId="77AD3B5A" w:rsidR="00BB0DB9" w:rsidRPr="00BB0DB9" w:rsidRDefault="00BB0DB9" w:rsidP="00BB0DB9">
      <w:pPr>
        <w:widowControl/>
        <w:numPr>
          <w:ilvl w:val="0"/>
          <w:numId w:val="8"/>
        </w:numPr>
        <w:rPr>
          <w:rFonts w:asciiTheme="minorHAnsi" w:hAnsiTheme="minorHAnsi" w:cstheme="minorHAnsi"/>
          <w:snapToGrid/>
          <w:sz w:val="22"/>
          <w:szCs w:val="22"/>
        </w:rPr>
      </w:pPr>
      <w:r w:rsidRPr="00BB0DB9">
        <w:rPr>
          <w:rFonts w:asciiTheme="minorHAnsi" w:hAnsiTheme="minorHAnsi" w:cstheme="minorHAnsi"/>
          <w:snapToGrid/>
          <w:sz w:val="22"/>
          <w:szCs w:val="22"/>
        </w:rPr>
        <w:t xml:space="preserve">They have knowledge of current standards and procedures for methods of prevention and dealing with pathogens transmitted by human blood and secretions as evidenced by completed </w:t>
      </w:r>
      <w:proofErr w:type="spellStart"/>
      <w:r w:rsidRPr="00BB0DB9">
        <w:rPr>
          <w:rFonts w:asciiTheme="minorHAnsi" w:hAnsiTheme="minorHAnsi" w:cstheme="minorHAnsi"/>
          <w:snapToGrid/>
          <w:sz w:val="22"/>
          <w:szCs w:val="22"/>
        </w:rPr>
        <w:t>elearning</w:t>
      </w:r>
      <w:proofErr w:type="spellEnd"/>
      <w:r w:rsidRPr="00BB0DB9">
        <w:rPr>
          <w:rFonts w:asciiTheme="minorHAnsi" w:hAnsiTheme="minorHAnsi" w:cstheme="minorHAnsi"/>
          <w:snapToGrid/>
          <w:sz w:val="22"/>
          <w:szCs w:val="22"/>
        </w:rPr>
        <w:t xml:space="preserve"> training.</w:t>
      </w:r>
    </w:p>
    <w:p w14:paraId="3F9B2CD3" w14:textId="77777777" w:rsidR="00BB0DB9" w:rsidRPr="00BB0DB9" w:rsidRDefault="00BB0DB9" w:rsidP="00BB0DB9">
      <w:pPr>
        <w:widowControl/>
        <w:ind w:left="720"/>
        <w:rPr>
          <w:rFonts w:asciiTheme="minorHAnsi" w:hAnsiTheme="minorHAnsi" w:cstheme="minorHAnsi"/>
          <w:snapToGrid/>
          <w:sz w:val="22"/>
          <w:szCs w:val="22"/>
        </w:rPr>
      </w:pPr>
    </w:p>
    <w:p w14:paraId="2F7736ED" w14:textId="6B0FA050"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Students are expected to remain in compliance with all health and wellness requirements for the duration of the program. </w:t>
      </w:r>
    </w:p>
    <w:p w14:paraId="0B82EB3B" w14:textId="77777777" w:rsidR="00BB0DB9" w:rsidRPr="00BB0DB9" w:rsidRDefault="00BB0DB9" w:rsidP="00BB0DB9">
      <w:pPr>
        <w:widowControl/>
        <w:spacing w:before="100" w:beforeAutospacing="1" w:after="100" w:afterAutospacing="1" w:line="300" w:lineRule="atLeast"/>
        <w:outlineLvl w:val="1"/>
        <w:rPr>
          <w:rFonts w:asciiTheme="minorHAnsi" w:hAnsiTheme="minorHAnsi" w:cstheme="minorHAnsi"/>
          <w:b/>
          <w:bCs/>
          <w:snapToGrid/>
          <w:sz w:val="22"/>
          <w:szCs w:val="22"/>
        </w:rPr>
      </w:pPr>
      <w:r w:rsidRPr="00BB0DB9">
        <w:rPr>
          <w:rFonts w:asciiTheme="minorHAnsi" w:hAnsiTheme="minorHAnsi" w:cstheme="minorHAnsi"/>
          <w:b/>
          <w:bCs/>
          <w:snapToGrid/>
          <w:sz w:val="22"/>
          <w:szCs w:val="22"/>
        </w:rPr>
        <w:t>Immunization and Health Screening Requirements</w:t>
      </w:r>
    </w:p>
    <w:p w14:paraId="3886F4B3" w14:textId="7D74E903"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Prior to </w:t>
      </w:r>
      <w:r w:rsidR="000B770C">
        <w:rPr>
          <w:rFonts w:asciiTheme="minorHAnsi" w:hAnsiTheme="minorHAnsi" w:cstheme="minorHAnsi"/>
          <w:snapToGrid/>
          <w:sz w:val="22"/>
          <w:szCs w:val="22"/>
        </w:rPr>
        <w:t>October 1 of the didactic year</w:t>
      </w:r>
      <w:r w:rsidRPr="00BB0DB9">
        <w:rPr>
          <w:rFonts w:asciiTheme="minorHAnsi" w:hAnsiTheme="minorHAnsi" w:cstheme="minorHAnsi"/>
          <w:snapToGrid/>
          <w:sz w:val="22"/>
          <w:szCs w:val="22"/>
        </w:rPr>
        <w:t>, students must provide documentation demonstrating immunity, vaccination, or completion of the required immunization series in accordance with current CDC recommendations, clinical site requirements, and program policies. Minimum requirements include:</w:t>
      </w:r>
    </w:p>
    <w:p w14:paraId="2C664EB2" w14:textId="77777777" w:rsidR="00BB0DB9" w:rsidRPr="00BB0DB9" w:rsidRDefault="00BB0DB9" w:rsidP="00BB0DB9">
      <w:pPr>
        <w:widowControl/>
        <w:numPr>
          <w:ilvl w:val="0"/>
          <w:numId w:val="9"/>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Measles (Rubeola)</w:t>
      </w:r>
    </w:p>
    <w:p w14:paraId="6BE5CA12" w14:textId="77777777" w:rsidR="00BB0DB9" w:rsidRPr="00BB0DB9" w:rsidRDefault="00BB0DB9" w:rsidP="00BB0DB9">
      <w:pPr>
        <w:widowControl/>
        <w:numPr>
          <w:ilvl w:val="0"/>
          <w:numId w:val="9"/>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Mumps</w:t>
      </w:r>
    </w:p>
    <w:p w14:paraId="6985F259" w14:textId="77777777" w:rsidR="00BB0DB9" w:rsidRPr="00BB0DB9" w:rsidRDefault="00BB0DB9" w:rsidP="00BB0DB9">
      <w:pPr>
        <w:widowControl/>
        <w:numPr>
          <w:ilvl w:val="0"/>
          <w:numId w:val="9"/>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Rubella</w:t>
      </w:r>
    </w:p>
    <w:p w14:paraId="52AF2A0E" w14:textId="77777777" w:rsidR="00BB0DB9" w:rsidRPr="00BB0DB9" w:rsidRDefault="00BB0DB9" w:rsidP="00BB0DB9">
      <w:pPr>
        <w:widowControl/>
        <w:numPr>
          <w:ilvl w:val="0"/>
          <w:numId w:val="9"/>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Varicella</w:t>
      </w:r>
    </w:p>
    <w:p w14:paraId="24ED403E" w14:textId="77777777" w:rsidR="00BB0DB9" w:rsidRDefault="00BB0DB9" w:rsidP="00BB0DB9">
      <w:pPr>
        <w:widowControl/>
        <w:numPr>
          <w:ilvl w:val="0"/>
          <w:numId w:val="9"/>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lastRenderedPageBreak/>
        <w:t>Hepatitis B</w:t>
      </w:r>
    </w:p>
    <w:p w14:paraId="1B89AB82" w14:textId="74C5CDD8" w:rsidR="00CD4FE0" w:rsidRPr="00BB0DB9" w:rsidRDefault="00CD4FE0" w:rsidP="00BB0DB9">
      <w:pPr>
        <w:widowControl/>
        <w:numPr>
          <w:ilvl w:val="0"/>
          <w:numId w:val="9"/>
        </w:numPr>
        <w:spacing w:before="100" w:beforeAutospacing="1" w:after="100" w:afterAutospacing="1" w:line="300" w:lineRule="atLeast"/>
        <w:rPr>
          <w:rFonts w:asciiTheme="minorHAnsi" w:hAnsiTheme="minorHAnsi" w:cstheme="minorHAnsi"/>
          <w:snapToGrid/>
          <w:sz w:val="22"/>
          <w:szCs w:val="22"/>
        </w:rPr>
      </w:pPr>
      <w:r>
        <w:rPr>
          <w:rFonts w:asciiTheme="minorHAnsi" w:hAnsiTheme="minorHAnsi" w:cstheme="minorHAnsi"/>
          <w:snapToGrid/>
          <w:sz w:val="22"/>
          <w:szCs w:val="22"/>
        </w:rPr>
        <w:t>Tuberculosis testing</w:t>
      </w:r>
    </w:p>
    <w:p w14:paraId="3CC6463E" w14:textId="77777777" w:rsidR="00BB0DB9" w:rsidRPr="00BB0DB9" w:rsidRDefault="00BB0DB9" w:rsidP="00BB0DB9">
      <w:pPr>
        <w:widowControl/>
        <w:numPr>
          <w:ilvl w:val="0"/>
          <w:numId w:val="9"/>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Tetanus, Diphtheria, and Pertussis (Tdap)</w:t>
      </w:r>
    </w:p>
    <w:p w14:paraId="1D818973" w14:textId="77777777" w:rsidR="00BB0DB9" w:rsidRPr="00BB0DB9" w:rsidRDefault="00BB0DB9" w:rsidP="00BB0DB9">
      <w:pPr>
        <w:widowControl/>
        <w:numPr>
          <w:ilvl w:val="0"/>
          <w:numId w:val="9"/>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Annual Influenza vaccination</w:t>
      </w:r>
    </w:p>
    <w:p w14:paraId="0D82BADA" w14:textId="77777777"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Additional immunizations, screening tests, boosters, or documentation may be required by:</w:t>
      </w:r>
    </w:p>
    <w:p w14:paraId="6B46E7E7" w14:textId="77777777" w:rsidR="00BB0DB9" w:rsidRPr="00BB0DB9" w:rsidRDefault="00BB0DB9" w:rsidP="00BB0DB9">
      <w:pPr>
        <w:widowControl/>
        <w:numPr>
          <w:ilvl w:val="0"/>
          <w:numId w:val="10"/>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Affiliated clinical sites</w:t>
      </w:r>
    </w:p>
    <w:p w14:paraId="1A3B774A" w14:textId="77777777" w:rsidR="00BB0DB9" w:rsidRPr="00BB0DB9" w:rsidRDefault="00BB0DB9" w:rsidP="00BB0DB9">
      <w:pPr>
        <w:widowControl/>
        <w:numPr>
          <w:ilvl w:val="0"/>
          <w:numId w:val="10"/>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Public health authorities</w:t>
      </w:r>
    </w:p>
    <w:p w14:paraId="765C1AC9" w14:textId="77777777" w:rsidR="00BB0DB9" w:rsidRPr="00BB0DB9" w:rsidRDefault="00BB0DB9" w:rsidP="00BB0DB9">
      <w:pPr>
        <w:widowControl/>
        <w:numPr>
          <w:ilvl w:val="0"/>
          <w:numId w:val="10"/>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State or federal regulations</w:t>
      </w:r>
    </w:p>
    <w:p w14:paraId="467C871B" w14:textId="77777777" w:rsidR="00BB0DB9" w:rsidRPr="00BB0DB9" w:rsidRDefault="00BB0DB9" w:rsidP="00BB0DB9">
      <w:pPr>
        <w:widowControl/>
        <w:numPr>
          <w:ilvl w:val="0"/>
          <w:numId w:val="10"/>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Western Michigan University</w:t>
      </w:r>
    </w:p>
    <w:p w14:paraId="3257FAD7" w14:textId="77777777" w:rsidR="00BB0DB9" w:rsidRPr="00BB0DB9" w:rsidRDefault="00BB0DB9" w:rsidP="00BB0DB9">
      <w:pPr>
        <w:widowControl/>
        <w:numPr>
          <w:ilvl w:val="0"/>
          <w:numId w:val="10"/>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International clinical rotation requirements</w:t>
      </w:r>
    </w:p>
    <w:p w14:paraId="743ED063" w14:textId="677A0397"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Students are responsible for maintaining compliance with all required immunizations and screenings throughout the program. </w:t>
      </w:r>
    </w:p>
    <w:p w14:paraId="28CD4E57" w14:textId="77777777" w:rsidR="00BB0DB9" w:rsidRPr="00BB0DB9" w:rsidRDefault="00BB0DB9" w:rsidP="00BB0DB9">
      <w:pPr>
        <w:widowControl/>
        <w:spacing w:before="100" w:beforeAutospacing="1" w:after="100" w:afterAutospacing="1" w:line="300" w:lineRule="atLeast"/>
        <w:outlineLvl w:val="1"/>
        <w:rPr>
          <w:rFonts w:asciiTheme="minorHAnsi" w:hAnsiTheme="minorHAnsi" w:cstheme="minorHAnsi"/>
          <w:b/>
          <w:bCs/>
          <w:snapToGrid/>
          <w:sz w:val="22"/>
          <w:szCs w:val="22"/>
        </w:rPr>
      </w:pPr>
      <w:r w:rsidRPr="00BB0DB9">
        <w:rPr>
          <w:rFonts w:asciiTheme="minorHAnsi" w:hAnsiTheme="minorHAnsi" w:cstheme="minorHAnsi"/>
          <w:b/>
          <w:bCs/>
          <w:snapToGrid/>
          <w:sz w:val="22"/>
          <w:szCs w:val="22"/>
        </w:rPr>
        <w:t>Documentation and Confidentiality</w:t>
      </w:r>
    </w:p>
    <w:p w14:paraId="67433A7E" w14:textId="0A13587F"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Immunization records, health screening documentation, and related health information are monitored through a secure third-party vendor (</w:t>
      </w:r>
      <w:proofErr w:type="spellStart"/>
      <w:r w:rsidRPr="00BB0DB9">
        <w:rPr>
          <w:rFonts w:asciiTheme="minorHAnsi" w:hAnsiTheme="minorHAnsi" w:cstheme="minorHAnsi"/>
          <w:snapToGrid/>
          <w:sz w:val="22"/>
          <w:szCs w:val="22"/>
        </w:rPr>
        <w:t>CastleBranch</w:t>
      </w:r>
      <w:proofErr w:type="spellEnd"/>
      <w:r w:rsidRPr="00BB0DB9">
        <w:rPr>
          <w:rFonts w:asciiTheme="minorHAnsi" w:hAnsiTheme="minorHAnsi" w:cstheme="minorHAnsi"/>
          <w:snapToGrid/>
          <w:sz w:val="22"/>
          <w:szCs w:val="22"/>
        </w:rPr>
        <w:t>/</w:t>
      </w:r>
      <w:proofErr w:type="spellStart"/>
      <w:r w:rsidRPr="00BB0DB9">
        <w:rPr>
          <w:rFonts w:asciiTheme="minorHAnsi" w:hAnsiTheme="minorHAnsi" w:cstheme="minorHAnsi"/>
          <w:snapToGrid/>
          <w:sz w:val="22"/>
          <w:szCs w:val="22"/>
        </w:rPr>
        <w:t>Exxat</w:t>
      </w:r>
      <w:proofErr w:type="spellEnd"/>
      <w:r w:rsidRPr="00BB0DB9">
        <w:rPr>
          <w:rFonts w:asciiTheme="minorHAnsi" w:hAnsiTheme="minorHAnsi" w:cstheme="minorHAnsi"/>
          <w:snapToGrid/>
          <w:sz w:val="22"/>
          <w:szCs w:val="22"/>
        </w:rPr>
        <w:t xml:space="preserve"> Approve) at the student's expense. </w:t>
      </w:r>
      <w:hyperlink r:id="rId6" w:history="1"/>
      <w:r w:rsidRPr="00BB0DB9">
        <w:rPr>
          <w:rFonts w:asciiTheme="minorHAnsi" w:hAnsiTheme="minorHAnsi" w:cstheme="minorHAnsi"/>
          <w:snapToGrid/>
          <w:sz w:val="22"/>
          <w:szCs w:val="22"/>
        </w:rPr>
        <w:t xml:space="preserve"> </w:t>
      </w:r>
    </w:p>
    <w:p w14:paraId="1927DA47" w14:textId="2336B437"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Student health records are not maintained in academic files and are not routinely reviewed by program faculty or staff except as necessary to verify compliance with program, university, and clinical site requirements. </w:t>
      </w:r>
    </w:p>
    <w:p w14:paraId="28ED9BDA" w14:textId="1167D7D4"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Students should not submit immunization records, laboratory results, or other protected health information directly to the Physician Assistant Program.</w:t>
      </w:r>
    </w:p>
    <w:p w14:paraId="3E80CDAA" w14:textId="77777777" w:rsidR="00BB0DB9" w:rsidRPr="00BB0DB9" w:rsidRDefault="00BB0DB9" w:rsidP="00BB0DB9">
      <w:pPr>
        <w:widowControl/>
        <w:spacing w:before="100" w:beforeAutospacing="1" w:after="100" w:afterAutospacing="1" w:line="300" w:lineRule="atLeast"/>
        <w:outlineLvl w:val="1"/>
        <w:rPr>
          <w:rFonts w:asciiTheme="minorHAnsi" w:hAnsiTheme="minorHAnsi" w:cstheme="minorHAnsi"/>
          <w:b/>
          <w:bCs/>
          <w:snapToGrid/>
          <w:sz w:val="22"/>
          <w:szCs w:val="22"/>
        </w:rPr>
      </w:pPr>
      <w:r w:rsidRPr="00BB0DB9">
        <w:rPr>
          <w:rFonts w:asciiTheme="minorHAnsi" w:hAnsiTheme="minorHAnsi" w:cstheme="minorHAnsi"/>
          <w:b/>
          <w:bCs/>
          <w:snapToGrid/>
          <w:sz w:val="22"/>
          <w:szCs w:val="22"/>
        </w:rPr>
        <w:t>Exposure to Infectious and Environmental Hazards</w:t>
      </w:r>
    </w:p>
    <w:p w14:paraId="6E5ED9EE" w14:textId="77777777"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Students may encounter occupational exposure risks during educational and clinical activities, including:</w:t>
      </w:r>
    </w:p>
    <w:p w14:paraId="47DB843C" w14:textId="77777777" w:rsidR="00BB0DB9" w:rsidRPr="00BB0DB9" w:rsidRDefault="00BB0DB9" w:rsidP="00BB0DB9">
      <w:pPr>
        <w:widowControl/>
        <w:numPr>
          <w:ilvl w:val="0"/>
          <w:numId w:val="11"/>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Blood and body fluids</w:t>
      </w:r>
    </w:p>
    <w:p w14:paraId="4B6CC68A" w14:textId="77777777" w:rsidR="00BB0DB9" w:rsidRPr="00BB0DB9" w:rsidRDefault="00BB0DB9" w:rsidP="00BB0DB9">
      <w:pPr>
        <w:widowControl/>
        <w:numPr>
          <w:ilvl w:val="0"/>
          <w:numId w:val="11"/>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Bloodborne pathogens</w:t>
      </w:r>
    </w:p>
    <w:p w14:paraId="270986AF" w14:textId="77777777" w:rsidR="00BB0DB9" w:rsidRPr="00BB0DB9" w:rsidRDefault="00BB0DB9" w:rsidP="00BB0DB9">
      <w:pPr>
        <w:widowControl/>
        <w:numPr>
          <w:ilvl w:val="0"/>
          <w:numId w:val="11"/>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Needlestick and sharps injuries</w:t>
      </w:r>
    </w:p>
    <w:p w14:paraId="3380A64A" w14:textId="77777777" w:rsidR="00BB0DB9" w:rsidRPr="00BB0DB9" w:rsidRDefault="00BB0DB9" w:rsidP="00BB0DB9">
      <w:pPr>
        <w:widowControl/>
        <w:numPr>
          <w:ilvl w:val="0"/>
          <w:numId w:val="11"/>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Airborne, droplet, and contact-transmitted infectious diseases</w:t>
      </w:r>
    </w:p>
    <w:p w14:paraId="69783FFE" w14:textId="77777777" w:rsidR="00BB0DB9" w:rsidRPr="00BB0DB9" w:rsidRDefault="00BB0DB9" w:rsidP="00BB0DB9">
      <w:pPr>
        <w:widowControl/>
        <w:numPr>
          <w:ilvl w:val="0"/>
          <w:numId w:val="11"/>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Radiation and radioactive materials</w:t>
      </w:r>
    </w:p>
    <w:p w14:paraId="453BEEAE" w14:textId="77777777" w:rsidR="00BB0DB9" w:rsidRPr="00BB0DB9" w:rsidRDefault="00BB0DB9" w:rsidP="00BB0DB9">
      <w:pPr>
        <w:widowControl/>
        <w:numPr>
          <w:ilvl w:val="0"/>
          <w:numId w:val="11"/>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Hazardous chemicals and medications</w:t>
      </w:r>
    </w:p>
    <w:p w14:paraId="27406945" w14:textId="2B9A916D" w:rsidR="00BB0DB9" w:rsidRPr="00BB0DB9" w:rsidRDefault="00BB0DB9" w:rsidP="00BB0DB9">
      <w:pPr>
        <w:widowControl/>
        <w:numPr>
          <w:ilvl w:val="0"/>
          <w:numId w:val="11"/>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Other environmental hazards commonly encountered in healthcare settings </w:t>
      </w:r>
      <w:hyperlink r:id="rId7" w:history="1"/>
      <w:r w:rsidRPr="00BB0DB9">
        <w:rPr>
          <w:rFonts w:asciiTheme="minorHAnsi" w:hAnsiTheme="minorHAnsi" w:cstheme="minorHAnsi"/>
          <w:snapToGrid/>
          <w:sz w:val="22"/>
          <w:szCs w:val="22"/>
        </w:rPr>
        <w:t xml:space="preserve"> </w:t>
      </w:r>
    </w:p>
    <w:p w14:paraId="6D1350A8" w14:textId="63C9BCBD"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All students receive education regarding bloodborne pathogens, infection prevention, standard precautions, and occupational safety requirements prior to participation in patient care activities. </w:t>
      </w:r>
    </w:p>
    <w:p w14:paraId="190A4002" w14:textId="77777777" w:rsidR="00BB0DB9" w:rsidRPr="00BB0DB9" w:rsidRDefault="00BB0DB9" w:rsidP="00BB0DB9">
      <w:pPr>
        <w:widowControl/>
        <w:spacing w:before="100" w:beforeAutospacing="1" w:after="100" w:afterAutospacing="1" w:line="300" w:lineRule="atLeast"/>
        <w:outlineLvl w:val="1"/>
        <w:rPr>
          <w:rFonts w:asciiTheme="minorHAnsi" w:hAnsiTheme="minorHAnsi" w:cstheme="minorHAnsi"/>
          <w:b/>
          <w:bCs/>
          <w:snapToGrid/>
          <w:sz w:val="22"/>
          <w:szCs w:val="22"/>
        </w:rPr>
      </w:pPr>
      <w:r w:rsidRPr="00BB0DB9">
        <w:rPr>
          <w:rFonts w:asciiTheme="minorHAnsi" w:hAnsiTheme="minorHAnsi" w:cstheme="minorHAnsi"/>
          <w:b/>
          <w:bCs/>
          <w:snapToGrid/>
          <w:sz w:val="22"/>
          <w:szCs w:val="22"/>
        </w:rPr>
        <w:t>Prevention and Safety Measures</w:t>
      </w:r>
    </w:p>
    <w:p w14:paraId="394653AF" w14:textId="77777777"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Students are expected to:</w:t>
      </w:r>
    </w:p>
    <w:p w14:paraId="5A053AF0" w14:textId="77777777" w:rsidR="00BB0DB9" w:rsidRPr="00BB0DB9" w:rsidRDefault="00BB0DB9" w:rsidP="00BB0DB9">
      <w:pPr>
        <w:widowControl/>
        <w:numPr>
          <w:ilvl w:val="0"/>
          <w:numId w:val="12"/>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Follow Standard Precautions and Transmission-Based Precautions as appropriate.</w:t>
      </w:r>
    </w:p>
    <w:p w14:paraId="15B2E547" w14:textId="77777777" w:rsidR="00BB0DB9" w:rsidRPr="00BB0DB9" w:rsidRDefault="00BB0DB9" w:rsidP="00BB0DB9">
      <w:pPr>
        <w:widowControl/>
        <w:numPr>
          <w:ilvl w:val="0"/>
          <w:numId w:val="12"/>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Utilize personal protective equipment (PPE) as required by the educational or clinical setting.</w:t>
      </w:r>
    </w:p>
    <w:p w14:paraId="0B129157" w14:textId="77777777" w:rsidR="00BB0DB9" w:rsidRPr="00BB0DB9" w:rsidRDefault="00BB0DB9" w:rsidP="00BB0DB9">
      <w:pPr>
        <w:widowControl/>
        <w:numPr>
          <w:ilvl w:val="0"/>
          <w:numId w:val="12"/>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lastRenderedPageBreak/>
        <w:t>Follow all institutional, university, and clinical site safety policies.</w:t>
      </w:r>
    </w:p>
    <w:p w14:paraId="625E6117" w14:textId="77777777" w:rsidR="00BB0DB9" w:rsidRPr="00BB0DB9" w:rsidRDefault="00BB0DB9" w:rsidP="00BB0DB9">
      <w:pPr>
        <w:widowControl/>
        <w:numPr>
          <w:ilvl w:val="0"/>
          <w:numId w:val="12"/>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Participate in required infection control and occupational safety training.</w:t>
      </w:r>
    </w:p>
    <w:p w14:paraId="59BF88D2" w14:textId="4D5A9D10" w:rsidR="00BB0DB9" w:rsidRPr="00BB0DB9" w:rsidRDefault="00BB0DB9" w:rsidP="00BB0DB9">
      <w:pPr>
        <w:widowControl/>
        <w:numPr>
          <w:ilvl w:val="0"/>
          <w:numId w:val="12"/>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Report unsafe conditions to the supervising faculty member or preceptor. </w:t>
      </w:r>
    </w:p>
    <w:p w14:paraId="23F0B57C" w14:textId="28485910"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Clinical sites are expected to provide students access to appropriate personal protective equipment and safety resources consistent with site policies and applicable regulations. </w:t>
      </w:r>
    </w:p>
    <w:p w14:paraId="646F1DAD" w14:textId="77777777" w:rsidR="00BB0DB9" w:rsidRPr="00BB0DB9" w:rsidRDefault="00BB0DB9" w:rsidP="00BB0DB9">
      <w:pPr>
        <w:widowControl/>
        <w:spacing w:before="100" w:beforeAutospacing="1" w:after="100" w:afterAutospacing="1" w:line="300" w:lineRule="atLeast"/>
        <w:outlineLvl w:val="1"/>
        <w:rPr>
          <w:rFonts w:asciiTheme="minorHAnsi" w:hAnsiTheme="minorHAnsi" w:cstheme="minorHAnsi"/>
          <w:b/>
          <w:bCs/>
          <w:snapToGrid/>
          <w:sz w:val="22"/>
          <w:szCs w:val="22"/>
        </w:rPr>
      </w:pPr>
      <w:r w:rsidRPr="00BB0DB9">
        <w:rPr>
          <w:rFonts w:asciiTheme="minorHAnsi" w:hAnsiTheme="minorHAnsi" w:cstheme="minorHAnsi"/>
          <w:b/>
          <w:bCs/>
          <w:snapToGrid/>
          <w:sz w:val="22"/>
          <w:szCs w:val="22"/>
        </w:rPr>
        <w:t>Exposure Incident Response</w:t>
      </w:r>
    </w:p>
    <w:p w14:paraId="15D26891" w14:textId="77777777" w:rsidR="00BB0DB9" w:rsidRPr="00BB0DB9" w:rsidRDefault="00BB0DB9" w:rsidP="00BB0DB9">
      <w:pPr>
        <w:widowControl/>
        <w:spacing w:before="100" w:beforeAutospacing="1" w:after="100" w:afterAutospacing="1" w:line="300" w:lineRule="atLeast"/>
        <w:outlineLvl w:val="2"/>
        <w:rPr>
          <w:rFonts w:asciiTheme="minorHAnsi" w:hAnsiTheme="minorHAnsi" w:cstheme="minorHAnsi"/>
          <w:b/>
          <w:bCs/>
          <w:snapToGrid/>
          <w:sz w:val="22"/>
          <w:szCs w:val="22"/>
        </w:rPr>
      </w:pPr>
      <w:r w:rsidRPr="00BB0DB9">
        <w:rPr>
          <w:rFonts w:asciiTheme="minorHAnsi" w:hAnsiTheme="minorHAnsi" w:cstheme="minorHAnsi"/>
          <w:b/>
          <w:bCs/>
          <w:snapToGrid/>
          <w:sz w:val="22"/>
          <w:szCs w:val="22"/>
        </w:rPr>
        <w:t>Exposure During Didactic Activities</w:t>
      </w:r>
    </w:p>
    <w:p w14:paraId="440239AC" w14:textId="77777777"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For exposures occurring during instructional activities at Western Michigan University:</w:t>
      </w:r>
    </w:p>
    <w:p w14:paraId="246B61C3" w14:textId="77777777" w:rsidR="00BB0DB9" w:rsidRPr="00BB0DB9" w:rsidRDefault="00BB0DB9" w:rsidP="00BB0DB9">
      <w:pPr>
        <w:widowControl/>
        <w:numPr>
          <w:ilvl w:val="0"/>
          <w:numId w:val="13"/>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Immediately perform appropriate first aid, including thorough cleansing of the affected area.</w:t>
      </w:r>
    </w:p>
    <w:p w14:paraId="46924D5B" w14:textId="77777777" w:rsidR="00BB0DB9" w:rsidRPr="00BB0DB9" w:rsidRDefault="00BB0DB9" w:rsidP="00BB0DB9">
      <w:pPr>
        <w:widowControl/>
        <w:numPr>
          <w:ilvl w:val="0"/>
          <w:numId w:val="13"/>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Notify the course instructor immediately.</w:t>
      </w:r>
    </w:p>
    <w:p w14:paraId="75AE7BE4" w14:textId="77777777" w:rsidR="00BB0DB9" w:rsidRPr="00BB0DB9" w:rsidRDefault="00BB0DB9" w:rsidP="00BB0DB9">
      <w:pPr>
        <w:widowControl/>
        <w:numPr>
          <w:ilvl w:val="0"/>
          <w:numId w:val="13"/>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Seek medical evaluation through </w:t>
      </w:r>
      <w:proofErr w:type="spellStart"/>
      <w:r w:rsidRPr="00BB0DB9">
        <w:rPr>
          <w:rFonts w:asciiTheme="minorHAnsi" w:hAnsiTheme="minorHAnsi" w:cstheme="minorHAnsi"/>
          <w:snapToGrid/>
          <w:sz w:val="22"/>
          <w:szCs w:val="22"/>
        </w:rPr>
        <w:t>Sindecuse</w:t>
      </w:r>
      <w:proofErr w:type="spellEnd"/>
      <w:r w:rsidRPr="00BB0DB9">
        <w:rPr>
          <w:rFonts w:asciiTheme="minorHAnsi" w:hAnsiTheme="minorHAnsi" w:cstheme="minorHAnsi"/>
          <w:snapToGrid/>
          <w:sz w:val="22"/>
          <w:szCs w:val="22"/>
        </w:rPr>
        <w:t xml:space="preserve"> Health Center or another appropriate healthcare provider.</w:t>
      </w:r>
    </w:p>
    <w:p w14:paraId="41D3BFE1" w14:textId="77777777" w:rsidR="00BB0DB9" w:rsidRPr="00BB0DB9" w:rsidRDefault="00BB0DB9" w:rsidP="00BB0DB9">
      <w:pPr>
        <w:widowControl/>
        <w:numPr>
          <w:ilvl w:val="0"/>
          <w:numId w:val="13"/>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Complete an incident report within 48 hours.</w:t>
      </w:r>
    </w:p>
    <w:p w14:paraId="737503B6" w14:textId="0C716D4B" w:rsidR="00BB0DB9" w:rsidRPr="00BB0DB9" w:rsidRDefault="00BB0DB9" w:rsidP="00BB0DB9">
      <w:pPr>
        <w:widowControl/>
        <w:numPr>
          <w:ilvl w:val="0"/>
          <w:numId w:val="13"/>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Follow all recommended testing, treatment, and follow-up care. </w:t>
      </w:r>
      <w:hyperlink r:id="rId8" w:history="1"/>
      <w:r w:rsidRPr="00BB0DB9">
        <w:rPr>
          <w:rFonts w:asciiTheme="minorHAnsi" w:hAnsiTheme="minorHAnsi" w:cstheme="minorHAnsi"/>
          <w:snapToGrid/>
          <w:sz w:val="22"/>
          <w:szCs w:val="22"/>
        </w:rPr>
        <w:t xml:space="preserve"> </w:t>
      </w:r>
    </w:p>
    <w:p w14:paraId="6B1C4950" w14:textId="77777777" w:rsidR="00BB0DB9" w:rsidRPr="00BB0DB9" w:rsidRDefault="00BB0DB9" w:rsidP="00BB0DB9">
      <w:pPr>
        <w:widowControl/>
        <w:spacing w:before="100" w:beforeAutospacing="1" w:after="100" w:afterAutospacing="1" w:line="300" w:lineRule="atLeast"/>
        <w:outlineLvl w:val="2"/>
        <w:rPr>
          <w:rFonts w:asciiTheme="minorHAnsi" w:hAnsiTheme="minorHAnsi" w:cstheme="minorHAnsi"/>
          <w:b/>
          <w:bCs/>
          <w:snapToGrid/>
          <w:sz w:val="22"/>
          <w:szCs w:val="22"/>
        </w:rPr>
      </w:pPr>
      <w:r w:rsidRPr="00BB0DB9">
        <w:rPr>
          <w:rFonts w:asciiTheme="minorHAnsi" w:hAnsiTheme="minorHAnsi" w:cstheme="minorHAnsi"/>
          <w:b/>
          <w:bCs/>
          <w:snapToGrid/>
          <w:sz w:val="22"/>
          <w:szCs w:val="22"/>
        </w:rPr>
        <w:t>Exposure During Supervised Clinical Practice Experiences</w:t>
      </w:r>
    </w:p>
    <w:p w14:paraId="373566FE" w14:textId="77777777"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For exposures occurring at a clinical education site:</w:t>
      </w:r>
    </w:p>
    <w:p w14:paraId="16BCEB87" w14:textId="77777777" w:rsidR="00BB0DB9" w:rsidRPr="00BB0DB9" w:rsidRDefault="00BB0DB9" w:rsidP="00BB0DB9">
      <w:pPr>
        <w:widowControl/>
        <w:numPr>
          <w:ilvl w:val="0"/>
          <w:numId w:val="14"/>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Immediately perform appropriate first aid measures.</w:t>
      </w:r>
    </w:p>
    <w:p w14:paraId="68A457EE" w14:textId="77777777" w:rsidR="00BB0DB9" w:rsidRPr="00BB0DB9" w:rsidRDefault="00BB0DB9" w:rsidP="00BB0DB9">
      <w:pPr>
        <w:widowControl/>
        <w:numPr>
          <w:ilvl w:val="0"/>
          <w:numId w:val="14"/>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Notify the supervising preceptor or designated site representative.</w:t>
      </w:r>
    </w:p>
    <w:p w14:paraId="03CE4704" w14:textId="77777777" w:rsidR="00BB0DB9" w:rsidRPr="00BB0DB9" w:rsidRDefault="00BB0DB9" w:rsidP="00BB0DB9">
      <w:pPr>
        <w:widowControl/>
        <w:numPr>
          <w:ilvl w:val="0"/>
          <w:numId w:val="14"/>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Follow all clinical site exposure and reporting procedures.</w:t>
      </w:r>
    </w:p>
    <w:p w14:paraId="1B871A1B" w14:textId="77777777" w:rsidR="00BB0DB9" w:rsidRPr="00BB0DB9" w:rsidRDefault="00BB0DB9" w:rsidP="00BB0DB9">
      <w:pPr>
        <w:widowControl/>
        <w:numPr>
          <w:ilvl w:val="0"/>
          <w:numId w:val="14"/>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Seek prompt medical evaluation and treatment as directed by the clinical site.</w:t>
      </w:r>
    </w:p>
    <w:p w14:paraId="29013362" w14:textId="77777777" w:rsidR="00BB0DB9" w:rsidRPr="00BB0DB9" w:rsidRDefault="00BB0DB9" w:rsidP="00BB0DB9">
      <w:pPr>
        <w:widowControl/>
        <w:numPr>
          <w:ilvl w:val="0"/>
          <w:numId w:val="14"/>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Notify the Director of Clinical Education, Clinical Rotations Coordinator, or Program Director as soon as possible.</w:t>
      </w:r>
    </w:p>
    <w:p w14:paraId="2E1D0B92" w14:textId="77777777" w:rsidR="00BB0DB9" w:rsidRPr="00BB0DB9" w:rsidRDefault="00BB0DB9" w:rsidP="00BB0DB9">
      <w:pPr>
        <w:widowControl/>
        <w:numPr>
          <w:ilvl w:val="0"/>
          <w:numId w:val="14"/>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Complete all required clinical site and program incident reports within 48 hours.</w:t>
      </w:r>
    </w:p>
    <w:p w14:paraId="2B51B921" w14:textId="767A8EAA" w:rsidR="00BB0DB9" w:rsidRPr="00BB0DB9" w:rsidRDefault="00BB0DB9" w:rsidP="00BB0DB9">
      <w:pPr>
        <w:widowControl/>
        <w:numPr>
          <w:ilvl w:val="0"/>
          <w:numId w:val="14"/>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Complete all recommended laboratory testing, treatment, counseling, monitoring, and follow-up care. </w:t>
      </w:r>
    </w:p>
    <w:p w14:paraId="7937FFB3" w14:textId="56C00758"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Students should familiarize themselves with applicable university and clinical site exposure-control policies, including the Western Michigan University Bloodborne Pathogen Exposure Control Plan. </w:t>
      </w:r>
    </w:p>
    <w:p w14:paraId="745978A0" w14:textId="77777777" w:rsidR="00BB0DB9" w:rsidRPr="00BB0DB9" w:rsidRDefault="00BB0DB9" w:rsidP="00BB0DB9">
      <w:pPr>
        <w:widowControl/>
        <w:spacing w:before="100" w:beforeAutospacing="1" w:after="100" w:afterAutospacing="1" w:line="300" w:lineRule="atLeast"/>
        <w:outlineLvl w:val="1"/>
        <w:rPr>
          <w:rFonts w:asciiTheme="minorHAnsi" w:hAnsiTheme="minorHAnsi" w:cstheme="minorHAnsi"/>
          <w:b/>
          <w:bCs/>
          <w:snapToGrid/>
          <w:sz w:val="22"/>
          <w:szCs w:val="22"/>
        </w:rPr>
      </w:pPr>
      <w:r w:rsidRPr="00BB0DB9">
        <w:rPr>
          <w:rFonts w:asciiTheme="minorHAnsi" w:hAnsiTheme="minorHAnsi" w:cstheme="minorHAnsi"/>
          <w:b/>
          <w:bCs/>
          <w:snapToGrid/>
          <w:sz w:val="22"/>
          <w:szCs w:val="22"/>
        </w:rPr>
        <w:t>Financial Responsibility</w:t>
      </w:r>
    </w:p>
    <w:p w14:paraId="2775830B" w14:textId="77777777"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Students are responsible for the costs associated with:</w:t>
      </w:r>
    </w:p>
    <w:p w14:paraId="62310CA5" w14:textId="77777777" w:rsidR="00BB0DB9" w:rsidRPr="00BB0DB9" w:rsidRDefault="00BB0DB9" w:rsidP="00BB0DB9">
      <w:pPr>
        <w:widowControl/>
        <w:numPr>
          <w:ilvl w:val="0"/>
          <w:numId w:val="15"/>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Health insurance coverage</w:t>
      </w:r>
    </w:p>
    <w:p w14:paraId="0EBEF301" w14:textId="77777777" w:rsidR="00BB0DB9" w:rsidRPr="00BB0DB9" w:rsidRDefault="00BB0DB9" w:rsidP="00BB0DB9">
      <w:pPr>
        <w:widowControl/>
        <w:numPr>
          <w:ilvl w:val="0"/>
          <w:numId w:val="15"/>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Required immunizations and boosters</w:t>
      </w:r>
    </w:p>
    <w:p w14:paraId="4E7D37C4" w14:textId="77777777" w:rsidR="00BB0DB9" w:rsidRPr="00BB0DB9" w:rsidRDefault="00BB0DB9" w:rsidP="00BB0DB9">
      <w:pPr>
        <w:widowControl/>
        <w:numPr>
          <w:ilvl w:val="0"/>
          <w:numId w:val="15"/>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Tuberculosis screening</w:t>
      </w:r>
    </w:p>
    <w:p w14:paraId="34D14234" w14:textId="77777777" w:rsidR="00BB0DB9" w:rsidRDefault="00BB0DB9" w:rsidP="00BB0DB9">
      <w:pPr>
        <w:widowControl/>
        <w:numPr>
          <w:ilvl w:val="0"/>
          <w:numId w:val="15"/>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Drug screening</w:t>
      </w:r>
    </w:p>
    <w:p w14:paraId="3405A881" w14:textId="395A2CEB" w:rsidR="00122E6A" w:rsidRPr="00BB0DB9" w:rsidRDefault="00122E6A" w:rsidP="00BB0DB9">
      <w:pPr>
        <w:widowControl/>
        <w:numPr>
          <w:ilvl w:val="0"/>
          <w:numId w:val="15"/>
        </w:numPr>
        <w:spacing w:before="100" w:beforeAutospacing="1" w:after="100" w:afterAutospacing="1" w:line="300" w:lineRule="atLeast"/>
        <w:rPr>
          <w:rFonts w:asciiTheme="minorHAnsi" w:hAnsiTheme="minorHAnsi" w:cstheme="minorHAnsi"/>
          <w:snapToGrid/>
          <w:sz w:val="22"/>
          <w:szCs w:val="22"/>
        </w:rPr>
      </w:pPr>
      <w:r>
        <w:rPr>
          <w:rFonts w:asciiTheme="minorHAnsi" w:hAnsiTheme="minorHAnsi" w:cstheme="minorHAnsi"/>
          <w:snapToGrid/>
          <w:sz w:val="22"/>
          <w:szCs w:val="22"/>
        </w:rPr>
        <w:t>Online blood pathogen training modules</w:t>
      </w:r>
    </w:p>
    <w:p w14:paraId="36B3B5D9" w14:textId="77777777" w:rsidR="00BB0DB9" w:rsidRPr="00BB0DB9" w:rsidRDefault="00BB0DB9" w:rsidP="00BB0DB9">
      <w:pPr>
        <w:widowControl/>
        <w:numPr>
          <w:ilvl w:val="0"/>
          <w:numId w:val="15"/>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Exposure-related medical evaluation</w:t>
      </w:r>
    </w:p>
    <w:p w14:paraId="27540E24" w14:textId="77777777" w:rsidR="00BB0DB9" w:rsidRPr="00BB0DB9" w:rsidRDefault="00BB0DB9" w:rsidP="00BB0DB9">
      <w:pPr>
        <w:widowControl/>
        <w:numPr>
          <w:ilvl w:val="0"/>
          <w:numId w:val="15"/>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Laboratory testing</w:t>
      </w:r>
    </w:p>
    <w:p w14:paraId="5EAF396B" w14:textId="77777777" w:rsidR="00BB0DB9" w:rsidRPr="00BB0DB9" w:rsidRDefault="00BB0DB9" w:rsidP="00BB0DB9">
      <w:pPr>
        <w:widowControl/>
        <w:numPr>
          <w:ilvl w:val="0"/>
          <w:numId w:val="15"/>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Post-exposure prophylaxis</w:t>
      </w:r>
    </w:p>
    <w:p w14:paraId="7A92EA82" w14:textId="22965124" w:rsidR="00BB0DB9" w:rsidRPr="00122E6A" w:rsidRDefault="00BB0DB9" w:rsidP="00BB0DB9">
      <w:pPr>
        <w:widowControl/>
        <w:numPr>
          <w:ilvl w:val="0"/>
          <w:numId w:val="15"/>
        </w:numPr>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Treatment and follow-up care</w:t>
      </w:r>
      <w:r w:rsidR="00122E6A">
        <w:rPr>
          <w:rFonts w:asciiTheme="minorHAnsi" w:hAnsiTheme="minorHAnsi" w:cstheme="minorHAnsi"/>
          <w:snapToGrid/>
          <w:sz w:val="22"/>
          <w:szCs w:val="22"/>
        </w:rPr>
        <w:t xml:space="preserve"> </w:t>
      </w:r>
      <w:r w:rsidRPr="00122E6A">
        <w:rPr>
          <w:rFonts w:asciiTheme="minorHAnsi" w:hAnsiTheme="minorHAnsi" w:cstheme="minorHAnsi"/>
          <w:snapToGrid/>
          <w:sz w:val="22"/>
          <w:szCs w:val="22"/>
        </w:rPr>
        <w:t xml:space="preserve">unless otherwise covered by a clinical site, employer, insurance provider, or other responsible party. </w:t>
      </w:r>
    </w:p>
    <w:p w14:paraId="713B81C6" w14:textId="77777777" w:rsidR="00BB0DB9" w:rsidRPr="00BB0DB9" w:rsidRDefault="00BB0DB9" w:rsidP="00BB0DB9">
      <w:pPr>
        <w:widowControl/>
        <w:spacing w:before="100" w:beforeAutospacing="1" w:after="100" w:afterAutospacing="1" w:line="300" w:lineRule="atLeast"/>
        <w:outlineLvl w:val="1"/>
        <w:rPr>
          <w:rFonts w:asciiTheme="minorHAnsi" w:hAnsiTheme="minorHAnsi" w:cstheme="minorHAnsi"/>
          <w:b/>
          <w:bCs/>
          <w:snapToGrid/>
          <w:sz w:val="22"/>
          <w:szCs w:val="22"/>
        </w:rPr>
      </w:pPr>
      <w:r w:rsidRPr="00BB0DB9">
        <w:rPr>
          <w:rFonts w:asciiTheme="minorHAnsi" w:hAnsiTheme="minorHAnsi" w:cstheme="minorHAnsi"/>
          <w:b/>
          <w:bCs/>
          <w:snapToGrid/>
          <w:sz w:val="22"/>
          <w:szCs w:val="22"/>
        </w:rPr>
        <w:lastRenderedPageBreak/>
        <w:t>International Clinical Experiences</w:t>
      </w:r>
    </w:p>
    <w:p w14:paraId="12EE8623" w14:textId="48DFB416"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 xml:space="preserve">Students participating in international clinical experiences must comply with all applicable CDC recommendations, country-specific health requirements, and university study abroad requirements. Additional immunizations, prophylactic medications, screenings, or health precautions may be required prior to travel. </w:t>
      </w:r>
    </w:p>
    <w:p w14:paraId="639CB445" w14:textId="77777777" w:rsidR="00BB0DB9" w:rsidRPr="00BB0DB9" w:rsidRDefault="00BB0DB9" w:rsidP="00BB0DB9">
      <w:pPr>
        <w:widowControl/>
        <w:spacing w:before="100" w:beforeAutospacing="1" w:after="100" w:afterAutospacing="1" w:line="300" w:lineRule="atLeast"/>
        <w:outlineLvl w:val="1"/>
        <w:rPr>
          <w:rFonts w:asciiTheme="minorHAnsi" w:hAnsiTheme="minorHAnsi" w:cstheme="minorHAnsi"/>
          <w:b/>
          <w:bCs/>
          <w:snapToGrid/>
          <w:sz w:val="22"/>
          <w:szCs w:val="22"/>
        </w:rPr>
      </w:pPr>
      <w:r w:rsidRPr="00BB0DB9">
        <w:rPr>
          <w:rFonts w:asciiTheme="minorHAnsi" w:hAnsiTheme="minorHAnsi" w:cstheme="minorHAnsi"/>
          <w:b/>
          <w:bCs/>
          <w:snapToGrid/>
          <w:sz w:val="22"/>
          <w:szCs w:val="22"/>
        </w:rPr>
        <w:t>Failure to Maintain Compliance</w:t>
      </w:r>
    </w:p>
    <w:p w14:paraId="0DBCA6D1" w14:textId="77777777" w:rsidR="00BB0DB9" w:rsidRPr="00BB0DB9" w:rsidRDefault="00BB0DB9" w:rsidP="00BB0DB9">
      <w:pPr>
        <w:widowControl/>
        <w:spacing w:before="100" w:beforeAutospacing="1" w:after="100" w:afterAutospacing="1" w:line="300" w:lineRule="atLeast"/>
        <w:rPr>
          <w:rFonts w:asciiTheme="minorHAnsi" w:hAnsiTheme="minorHAnsi" w:cstheme="minorHAnsi"/>
          <w:snapToGrid/>
          <w:sz w:val="22"/>
          <w:szCs w:val="22"/>
        </w:rPr>
      </w:pPr>
      <w:r w:rsidRPr="00BB0DB9">
        <w:rPr>
          <w:rFonts w:asciiTheme="minorHAnsi" w:hAnsiTheme="minorHAnsi" w:cstheme="minorHAnsi"/>
          <w:snapToGrid/>
          <w:sz w:val="22"/>
          <w:szCs w:val="22"/>
        </w:rPr>
        <w:t>Students who do not maintain compliance with health, immunization, screening, insurance, or safety requirements may be prohibited from participating in educational activities involving patient contact or clinical experiences. Inability to meet these requirements may delay progression in the curriculum and may result in dismissal from the program.</w:t>
      </w:r>
    </w:p>
    <w:p w14:paraId="04460D9A" w14:textId="19585B0C" w:rsidR="00EF7703" w:rsidRPr="00BB0DB9" w:rsidRDefault="00EF7703" w:rsidP="00EF7703">
      <w:pPr>
        <w:widowControl/>
        <w:rPr>
          <w:rFonts w:asciiTheme="minorHAnsi" w:hAnsiTheme="minorHAnsi" w:cstheme="minorHAnsi"/>
          <w:b/>
          <w:snapToGrid/>
          <w:sz w:val="22"/>
          <w:szCs w:val="22"/>
        </w:rPr>
      </w:pPr>
    </w:p>
    <w:p w14:paraId="7D173CCD" w14:textId="4C4526E7" w:rsidR="00C37DB5" w:rsidRPr="00BB0DB9" w:rsidRDefault="00C37DB5" w:rsidP="00C37DB5">
      <w:pPr>
        <w:widowControl/>
        <w:rPr>
          <w:rFonts w:asciiTheme="minorHAnsi" w:hAnsiTheme="minorHAnsi" w:cstheme="minorHAnsi"/>
          <w:snapToGrid/>
          <w:sz w:val="22"/>
          <w:szCs w:val="22"/>
        </w:rPr>
      </w:pPr>
      <w:r w:rsidRPr="00BB0DB9">
        <w:rPr>
          <w:rFonts w:asciiTheme="minorHAnsi" w:hAnsiTheme="minorHAnsi" w:cstheme="minorHAnsi"/>
          <w:snapToGrid/>
          <w:sz w:val="22"/>
          <w:szCs w:val="22"/>
        </w:rPr>
        <w:tab/>
      </w:r>
      <w:r w:rsidRPr="00BB0DB9">
        <w:rPr>
          <w:rFonts w:asciiTheme="minorHAnsi" w:hAnsiTheme="minorHAnsi" w:cstheme="minorHAnsi"/>
          <w:snapToGrid/>
          <w:sz w:val="22"/>
          <w:szCs w:val="22"/>
        </w:rPr>
        <w:tab/>
      </w:r>
      <w:r w:rsidRPr="00BB0DB9">
        <w:rPr>
          <w:rFonts w:asciiTheme="minorHAnsi" w:hAnsiTheme="minorHAnsi" w:cstheme="minorHAnsi"/>
          <w:snapToGrid/>
          <w:sz w:val="22"/>
          <w:szCs w:val="22"/>
        </w:rPr>
        <w:tab/>
      </w:r>
      <w:r w:rsidRPr="00BB0DB9">
        <w:rPr>
          <w:rFonts w:asciiTheme="minorHAnsi" w:hAnsiTheme="minorHAnsi" w:cstheme="minorHAnsi"/>
          <w:snapToGrid/>
          <w:sz w:val="22"/>
          <w:szCs w:val="22"/>
        </w:rPr>
        <w:tab/>
      </w:r>
    </w:p>
    <w:p w14:paraId="3B4D1704" w14:textId="3D43EC65" w:rsidR="00EF7703" w:rsidRPr="00BB0DB9" w:rsidRDefault="00964B8D" w:rsidP="00C37DB5">
      <w:pPr>
        <w:widowControl/>
        <w:rPr>
          <w:rFonts w:asciiTheme="minorHAnsi" w:hAnsiTheme="minorHAnsi" w:cstheme="minorHAnsi"/>
          <w:snapToGrid/>
          <w:sz w:val="22"/>
          <w:szCs w:val="22"/>
        </w:rPr>
      </w:pPr>
      <w:r w:rsidRPr="00BB0DB9">
        <w:rPr>
          <w:rFonts w:asciiTheme="minorHAnsi" w:hAnsiTheme="minorHAnsi" w:cstheme="minorHAnsi"/>
          <w:snapToGrid/>
          <w:sz w:val="22"/>
          <w:szCs w:val="22"/>
        </w:rPr>
        <w:t>D</w:t>
      </w:r>
      <w:r w:rsidR="00C712E5" w:rsidRPr="00BB0DB9">
        <w:rPr>
          <w:rFonts w:asciiTheme="minorHAnsi" w:hAnsiTheme="minorHAnsi" w:cstheme="minorHAnsi"/>
          <w:snapToGrid/>
          <w:sz w:val="22"/>
          <w:szCs w:val="22"/>
        </w:rPr>
        <w:t xml:space="preserve">ate </w:t>
      </w:r>
      <w:r w:rsidR="005715A1" w:rsidRPr="00BB0DB9">
        <w:rPr>
          <w:rFonts w:asciiTheme="minorHAnsi" w:hAnsiTheme="minorHAnsi" w:cstheme="minorHAnsi"/>
          <w:snapToGrid/>
          <w:sz w:val="22"/>
          <w:szCs w:val="22"/>
        </w:rPr>
        <w:t>Reviewed:</w:t>
      </w:r>
      <w:r w:rsidR="005715A1" w:rsidRPr="00BB0DB9">
        <w:rPr>
          <w:rFonts w:asciiTheme="minorHAnsi" w:hAnsiTheme="minorHAnsi" w:cstheme="minorHAnsi"/>
          <w:snapToGrid/>
          <w:sz w:val="22"/>
          <w:szCs w:val="22"/>
        </w:rPr>
        <w:tab/>
      </w:r>
      <w:r w:rsidR="00C712E5" w:rsidRPr="00BB0DB9">
        <w:rPr>
          <w:rFonts w:asciiTheme="minorHAnsi" w:hAnsiTheme="minorHAnsi" w:cstheme="minorHAnsi"/>
          <w:snapToGrid/>
          <w:sz w:val="22"/>
          <w:szCs w:val="22"/>
        </w:rPr>
        <w:tab/>
      </w:r>
      <w:r w:rsidR="009F6FAD" w:rsidRPr="00BB0DB9">
        <w:rPr>
          <w:rFonts w:asciiTheme="minorHAnsi" w:hAnsiTheme="minorHAnsi" w:cstheme="minorHAnsi"/>
          <w:snapToGrid/>
          <w:sz w:val="22"/>
          <w:szCs w:val="22"/>
        </w:rPr>
        <w:t>4/30/2026</w:t>
      </w:r>
      <w:r w:rsidR="00C37DB5" w:rsidRPr="00BB0DB9">
        <w:rPr>
          <w:rFonts w:asciiTheme="minorHAnsi" w:hAnsiTheme="minorHAnsi" w:cstheme="minorHAnsi"/>
          <w:snapToGrid/>
          <w:sz w:val="22"/>
          <w:szCs w:val="22"/>
        </w:rPr>
        <w:tab/>
      </w:r>
      <w:r w:rsidR="00C37DB5" w:rsidRPr="00BB0DB9">
        <w:rPr>
          <w:rFonts w:asciiTheme="minorHAnsi" w:hAnsiTheme="minorHAnsi" w:cstheme="minorHAnsi"/>
          <w:snapToGrid/>
          <w:sz w:val="22"/>
          <w:szCs w:val="22"/>
        </w:rPr>
        <w:tab/>
      </w:r>
      <w:r w:rsidR="00C37DB5" w:rsidRPr="00BB0DB9">
        <w:rPr>
          <w:rFonts w:asciiTheme="minorHAnsi" w:hAnsiTheme="minorHAnsi" w:cstheme="minorHAnsi"/>
          <w:snapToGrid/>
          <w:sz w:val="22"/>
          <w:szCs w:val="22"/>
        </w:rPr>
        <w:tab/>
      </w:r>
      <w:r w:rsidR="00C37DB5" w:rsidRPr="00BB0DB9">
        <w:rPr>
          <w:rFonts w:asciiTheme="minorHAnsi" w:hAnsiTheme="minorHAnsi" w:cstheme="minorHAnsi"/>
          <w:snapToGrid/>
          <w:sz w:val="22"/>
          <w:szCs w:val="22"/>
        </w:rPr>
        <w:tab/>
      </w:r>
    </w:p>
    <w:p w14:paraId="1778BF29" w14:textId="0AE23028" w:rsidR="00F24DBE" w:rsidRPr="00EF7703" w:rsidRDefault="00964B8D" w:rsidP="00C37DB5">
      <w:pPr>
        <w:widowControl/>
        <w:rPr>
          <w:rFonts w:ascii="Calibri" w:hAnsi="Calibri" w:cs="Calibri"/>
          <w:snapToGrid/>
          <w:sz w:val="22"/>
          <w:szCs w:val="22"/>
        </w:rPr>
      </w:pPr>
      <w:r w:rsidRPr="00BB0DB9">
        <w:rPr>
          <w:rFonts w:asciiTheme="minorHAnsi" w:hAnsiTheme="minorHAnsi" w:cstheme="minorHAnsi"/>
          <w:snapToGrid/>
          <w:sz w:val="22"/>
          <w:szCs w:val="22"/>
        </w:rPr>
        <w:t xml:space="preserve">To </w:t>
      </w:r>
      <w:r w:rsidR="00F24DBE" w:rsidRPr="00BB0DB9">
        <w:rPr>
          <w:rFonts w:asciiTheme="minorHAnsi" w:hAnsiTheme="minorHAnsi" w:cstheme="minorHAnsi"/>
          <w:snapToGrid/>
          <w:sz w:val="22"/>
          <w:szCs w:val="22"/>
        </w:rPr>
        <w:t xml:space="preserve">Be </w:t>
      </w:r>
      <w:r w:rsidR="005715A1" w:rsidRPr="00BB0DB9">
        <w:rPr>
          <w:rFonts w:asciiTheme="minorHAnsi" w:hAnsiTheme="minorHAnsi" w:cstheme="minorHAnsi"/>
          <w:snapToGrid/>
          <w:sz w:val="22"/>
          <w:szCs w:val="22"/>
        </w:rPr>
        <w:t>Reviewed</w:t>
      </w:r>
      <w:r w:rsidR="00C712E5" w:rsidRPr="00BB0DB9">
        <w:rPr>
          <w:rFonts w:asciiTheme="minorHAnsi" w:hAnsiTheme="minorHAnsi" w:cstheme="minorHAnsi"/>
          <w:snapToGrid/>
          <w:sz w:val="22"/>
          <w:szCs w:val="22"/>
        </w:rPr>
        <w:t>:</w:t>
      </w:r>
      <w:r w:rsidR="00C712E5" w:rsidRPr="00BB0DB9">
        <w:rPr>
          <w:rFonts w:asciiTheme="minorHAnsi" w:hAnsiTheme="minorHAnsi" w:cstheme="minorHAnsi"/>
          <w:snapToGrid/>
          <w:sz w:val="22"/>
          <w:szCs w:val="22"/>
        </w:rPr>
        <w:tab/>
      </w:r>
      <w:r w:rsidR="005715A1" w:rsidRPr="00BB0DB9">
        <w:rPr>
          <w:rFonts w:asciiTheme="minorHAnsi" w:hAnsiTheme="minorHAnsi" w:cstheme="minorHAnsi"/>
          <w:snapToGrid/>
          <w:sz w:val="22"/>
          <w:szCs w:val="22"/>
        </w:rPr>
        <w:t>5</w:t>
      </w:r>
      <w:r w:rsidR="009B3B4D" w:rsidRPr="00BB0DB9">
        <w:rPr>
          <w:rFonts w:asciiTheme="minorHAnsi" w:hAnsiTheme="minorHAnsi" w:cstheme="minorHAnsi"/>
          <w:snapToGrid/>
          <w:sz w:val="22"/>
          <w:szCs w:val="22"/>
        </w:rPr>
        <w:t>/01/202</w:t>
      </w:r>
      <w:r w:rsidR="009F6FAD" w:rsidRPr="00BB0DB9">
        <w:rPr>
          <w:rFonts w:asciiTheme="minorHAnsi" w:hAnsiTheme="minorHAnsi" w:cstheme="minorHAnsi"/>
          <w:snapToGrid/>
          <w:sz w:val="22"/>
          <w:szCs w:val="22"/>
        </w:rPr>
        <w:t>7</w:t>
      </w:r>
      <w:r w:rsidR="00C37DB5">
        <w:rPr>
          <w:rFonts w:asciiTheme="minorHAnsi" w:hAnsiTheme="minorHAnsi" w:cstheme="minorHAnsi"/>
          <w:sz w:val="22"/>
          <w:szCs w:val="22"/>
        </w:rPr>
        <w:tab/>
      </w:r>
      <w:r w:rsidR="00C37DB5">
        <w:rPr>
          <w:rFonts w:asciiTheme="minorHAnsi" w:hAnsiTheme="minorHAnsi" w:cstheme="minorHAnsi"/>
          <w:sz w:val="22"/>
          <w:szCs w:val="22"/>
        </w:rPr>
        <w:tab/>
      </w:r>
      <w:r w:rsidR="00C37DB5">
        <w:rPr>
          <w:rFonts w:asciiTheme="minorHAnsi" w:hAnsiTheme="minorHAnsi" w:cstheme="minorHAnsi"/>
          <w:sz w:val="22"/>
          <w:szCs w:val="22"/>
        </w:rPr>
        <w:tab/>
      </w:r>
      <w:r w:rsidR="00C37DB5">
        <w:rPr>
          <w:rFonts w:asciiTheme="minorHAnsi" w:hAnsiTheme="minorHAnsi" w:cstheme="minorHAnsi"/>
          <w:sz w:val="22"/>
          <w:szCs w:val="22"/>
        </w:rPr>
        <w:tab/>
      </w:r>
      <w:r w:rsidR="00C37DB5">
        <w:rPr>
          <w:rFonts w:asciiTheme="minorHAnsi" w:hAnsiTheme="minorHAnsi" w:cstheme="minorHAnsi"/>
          <w:sz w:val="22"/>
          <w:szCs w:val="22"/>
        </w:rPr>
        <w:tab/>
      </w:r>
    </w:p>
    <w:p w14:paraId="2CA15890" w14:textId="77777777" w:rsidR="00733E23" w:rsidRDefault="00733E23" w:rsidP="00733E23">
      <w:pPr>
        <w:widowControl/>
        <w:rPr>
          <w:rFonts w:asciiTheme="minorHAnsi" w:hAnsiTheme="minorHAnsi" w:cstheme="minorHAnsi"/>
          <w:snapToGrid/>
          <w:sz w:val="22"/>
          <w:szCs w:val="22"/>
        </w:rPr>
      </w:pPr>
      <w:r>
        <w:rPr>
          <w:noProof/>
        </w:rPr>
        <w:drawing>
          <wp:inline distT="0" distB="0" distL="0" distR="0" wp14:anchorId="169CB78C" wp14:editId="153A27D7">
            <wp:extent cx="1412891" cy="628650"/>
            <wp:effectExtent l="0" t="0" r="0" b="0"/>
            <wp:docPr id="7" name="Picture 3"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A close-up of a signatur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2685" cy="637457"/>
                    </a:xfrm>
                    <a:prstGeom prst="rect">
                      <a:avLst/>
                    </a:prstGeom>
                    <a:noFill/>
                    <a:ln>
                      <a:noFill/>
                    </a:ln>
                  </pic:spPr>
                </pic:pic>
              </a:graphicData>
            </a:graphic>
          </wp:inline>
        </w:drawing>
      </w:r>
    </w:p>
    <w:p w14:paraId="44CF682D" w14:textId="77777777" w:rsidR="00733E23" w:rsidRDefault="00733E23" w:rsidP="00733E23">
      <w:pPr>
        <w:widowControl/>
        <w:rPr>
          <w:rFonts w:asciiTheme="minorHAnsi" w:hAnsiTheme="minorHAnsi" w:cstheme="minorHAnsi"/>
          <w:snapToGrid/>
          <w:sz w:val="22"/>
          <w:szCs w:val="22"/>
        </w:rPr>
      </w:pPr>
      <w:r>
        <w:rPr>
          <w:rFonts w:asciiTheme="minorHAnsi" w:hAnsiTheme="minorHAnsi" w:cstheme="minorHAnsi"/>
          <w:snapToGrid/>
          <w:sz w:val="22"/>
          <w:szCs w:val="22"/>
        </w:rPr>
        <w:t>______________________</w:t>
      </w:r>
    </w:p>
    <w:p w14:paraId="63DC5459" w14:textId="77777777" w:rsidR="00733E23" w:rsidRDefault="00733E23" w:rsidP="00733E23">
      <w:pPr>
        <w:widowControl/>
        <w:rPr>
          <w:rFonts w:asciiTheme="minorHAnsi" w:hAnsiTheme="minorHAnsi" w:cstheme="minorHAnsi"/>
          <w:snapToGrid/>
          <w:sz w:val="22"/>
          <w:szCs w:val="22"/>
        </w:rPr>
      </w:pPr>
      <w:r>
        <w:rPr>
          <w:rFonts w:asciiTheme="minorHAnsi" w:hAnsiTheme="minorHAnsi" w:cstheme="minorHAnsi"/>
          <w:snapToGrid/>
          <w:sz w:val="22"/>
          <w:szCs w:val="22"/>
        </w:rPr>
        <w:t>Program Director</w:t>
      </w:r>
    </w:p>
    <w:p w14:paraId="516156D9" w14:textId="0E63FB03" w:rsidR="00EF7703" w:rsidRDefault="00EF7703" w:rsidP="00F24DBE">
      <w:pPr>
        <w:widowControl/>
        <w:rPr>
          <w:rFonts w:ascii="Times New Roman" w:hAnsi="Times New Roman"/>
          <w:snapToGrid/>
          <w:sz w:val="28"/>
        </w:rPr>
      </w:pPr>
      <w:r w:rsidRPr="00EF7703">
        <w:rPr>
          <w:rFonts w:ascii="Calibri" w:hAnsi="Calibri" w:cs="Calibri"/>
          <w:snapToGrid/>
          <w:sz w:val="22"/>
          <w:szCs w:val="22"/>
        </w:rPr>
        <w:tab/>
      </w:r>
      <w:r w:rsidRPr="00EF7703">
        <w:rPr>
          <w:rFonts w:ascii="Calibri" w:hAnsi="Calibri" w:cs="Calibri"/>
          <w:snapToGrid/>
          <w:sz w:val="22"/>
          <w:szCs w:val="22"/>
        </w:rPr>
        <w:tab/>
      </w:r>
      <w:r w:rsidRPr="00EF7703">
        <w:rPr>
          <w:rFonts w:ascii="Calibri" w:hAnsi="Calibri" w:cs="Calibri"/>
          <w:snapToGrid/>
          <w:sz w:val="22"/>
          <w:szCs w:val="22"/>
        </w:rPr>
        <w:tab/>
      </w:r>
      <w:r w:rsidRPr="00EF7703">
        <w:rPr>
          <w:rFonts w:ascii="Calibri" w:hAnsi="Calibri" w:cs="Calibri"/>
          <w:snapToGrid/>
          <w:sz w:val="22"/>
          <w:szCs w:val="22"/>
        </w:rPr>
        <w:tab/>
      </w:r>
      <w:r w:rsidRPr="00EF7703">
        <w:rPr>
          <w:rFonts w:ascii="Calibri" w:hAnsi="Calibri" w:cs="Calibri"/>
          <w:snapToGrid/>
          <w:sz w:val="22"/>
          <w:szCs w:val="22"/>
        </w:rPr>
        <w:tab/>
      </w:r>
      <w:r w:rsidRPr="00EF7703">
        <w:rPr>
          <w:rFonts w:ascii="Calibri" w:hAnsi="Calibri" w:cs="Calibri"/>
          <w:snapToGrid/>
          <w:sz w:val="22"/>
          <w:szCs w:val="22"/>
        </w:rPr>
        <w:tab/>
      </w:r>
      <w:r w:rsidR="00F24DBE">
        <w:rPr>
          <w:rFonts w:asciiTheme="minorHAnsi" w:hAnsiTheme="minorHAnsi" w:cstheme="minorHAnsi"/>
          <w:sz w:val="22"/>
          <w:szCs w:val="22"/>
        </w:rPr>
        <w:tab/>
      </w:r>
      <w:r w:rsidR="00F24DBE">
        <w:rPr>
          <w:rFonts w:asciiTheme="minorHAnsi" w:hAnsiTheme="minorHAnsi" w:cstheme="minorHAnsi"/>
          <w:sz w:val="22"/>
          <w:szCs w:val="22"/>
        </w:rPr>
        <w:tab/>
      </w:r>
      <w:r w:rsidR="00F24DBE">
        <w:rPr>
          <w:rFonts w:asciiTheme="minorHAnsi" w:hAnsiTheme="minorHAnsi" w:cstheme="minorHAnsi"/>
          <w:sz w:val="22"/>
          <w:szCs w:val="22"/>
        </w:rPr>
        <w:tab/>
      </w:r>
      <w:r w:rsidR="00F24DBE">
        <w:rPr>
          <w:rFonts w:asciiTheme="minorHAnsi" w:hAnsiTheme="minorHAnsi" w:cstheme="minorHAnsi"/>
          <w:sz w:val="22"/>
          <w:szCs w:val="22"/>
        </w:rPr>
        <w:tab/>
      </w:r>
      <w:r w:rsidR="00F24DBE">
        <w:rPr>
          <w:rFonts w:asciiTheme="minorHAnsi" w:hAnsiTheme="minorHAnsi" w:cstheme="minorHAnsi"/>
          <w:sz w:val="22"/>
          <w:szCs w:val="22"/>
        </w:rPr>
        <w:tab/>
      </w:r>
    </w:p>
    <w:sectPr w:rsidR="00EF7703" w:rsidSect="00733E2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F3884"/>
    <w:multiLevelType w:val="hybridMultilevel"/>
    <w:tmpl w:val="CB2CDBCC"/>
    <w:lvl w:ilvl="0" w:tplc="0409000F">
      <w:start w:val="1"/>
      <w:numFmt w:val="decimal"/>
      <w:lvlText w:val="%1."/>
      <w:lvlJc w:val="left"/>
      <w:pPr>
        <w:tabs>
          <w:tab w:val="num" w:pos="720"/>
        </w:tabs>
        <w:ind w:left="720" w:hanging="360"/>
      </w:pPr>
      <w:rPr>
        <w:rFonts w:hint="default"/>
        <w:b/>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425ED1"/>
    <w:multiLevelType w:val="multilevel"/>
    <w:tmpl w:val="9114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B1B0F"/>
    <w:multiLevelType w:val="multilevel"/>
    <w:tmpl w:val="85882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EB6E23"/>
    <w:multiLevelType w:val="hybridMultilevel"/>
    <w:tmpl w:val="0A2470CE"/>
    <w:lvl w:ilvl="0" w:tplc="C77A3648">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276ED"/>
    <w:multiLevelType w:val="multilevel"/>
    <w:tmpl w:val="41D2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62AD7"/>
    <w:multiLevelType w:val="hybridMultilevel"/>
    <w:tmpl w:val="589003FA"/>
    <w:lvl w:ilvl="0" w:tplc="C77A364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7D2AE3"/>
    <w:multiLevelType w:val="multilevel"/>
    <w:tmpl w:val="EDA6B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D1655A"/>
    <w:multiLevelType w:val="hybridMultilevel"/>
    <w:tmpl w:val="E0ACCF0A"/>
    <w:lvl w:ilvl="0" w:tplc="C77A3648">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AA67F4"/>
    <w:multiLevelType w:val="hybridMultilevel"/>
    <w:tmpl w:val="8432EE32"/>
    <w:lvl w:ilvl="0" w:tplc="C77A364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1D6F8A"/>
    <w:multiLevelType w:val="multilevel"/>
    <w:tmpl w:val="A938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B0767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ABF5906"/>
    <w:multiLevelType w:val="multilevel"/>
    <w:tmpl w:val="1528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1F4A1F"/>
    <w:multiLevelType w:val="multilevel"/>
    <w:tmpl w:val="750E2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D46CAD"/>
    <w:multiLevelType w:val="multilevel"/>
    <w:tmpl w:val="075C8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7D4666"/>
    <w:multiLevelType w:val="hybridMultilevel"/>
    <w:tmpl w:val="9BDE132A"/>
    <w:lvl w:ilvl="0" w:tplc="BA108040">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2592926">
    <w:abstractNumId w:val="10"/>
  </w:num>
  <w:num w:numId="2" w16cid:durableId="1243685932">
    <w:abstractNumId w:val="0"/>
  </w:num>
  <w:num w:numId="3" w16cid:durableId="820728610">
    <w:abstractNumId w:val="7"/>
  </w:num>
  <w:num w:numId="4" w16cid:durableId="1903832042">
    <w:abstractNumId w:val="5"/>
  </w:num>
  <w:num w:numId="5" w16cid:durableId="1004895298">
    <w:abstractNumId w:val="3"/>
  </w:num>
  <w:num w:numId="6" w16cid:durableId="1186291857">
    <w:abstractNumId w:val="8"/>
  </w:num>
  <w:num w:numId="7" w16cid:durableId="714695028">
    <w:abstractNumId w:val="14"/>
  </w:num>
  <w:num w:numId="8" w16cid:durableId="726147026">
    <w:abstractNumId w:val="11"/>
  </w:num>
  <w:num w:numId="9" w16cid:durableId="1401555791">
    <w:abstractNumId w:val="13"/>
  </w:num>
  <w:num w:numId="10" w16cid:durableId="554853975">
    <w:abstractNumId w:val="4"/>
  </w:num>
  <w:num w:numId="11" w16cid:durableId="332608162">
    <w:abstractNumId w:val="12"/>
  </w:num>
  <w:num w:numId="12" w16cid:durableId="380448801">
    <w:abstractNumId w:val="9"/>
  </w:num>
  <w:num w:numId="13" w16cid:durableId="2038308282">
    <w:abstractNumId w:val="2"/>
  </w:num>
  <w:num w:numId="14" w16cid:durableId="338778177">
    <w:abstractNumId w:val="6"/>
  </w:num>
  <w:num w:numId="15" w16cid:durableId="120510070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97A"/>
    <w:rsid w:val="000B42DD"/>
    <w:rsid w:val="000B770C"/>
    <w:rsid w:val="000C09CE"/>
    <w:rsid w:val="00122E6A"/>
    <w:rsid w:val="00173B7A"/>
    <w:rsid w:val="001B5E72"/>
    <w:rsid w:val="00221703"/>
    <w:rsid w:val="002329A1"/>
    <w:rsid w:val="00250FDE"/>
    <w:rsid w:val="0030097A"/>
    <w:rsid w:val="00305C76"/>
    <w:rsid w:val="003E6A91"/>
    <w:rsid w:val="004125DB"/>
    <w:rsid w:val="005715A1"/>
    <w:rsid w:val="005B4E5E"/>
    <w:rsid w:val="00664E28"/>
    <w:rsid w:val="00733E23"/>
    <w:rsid w:val="007B6DF3"/>
    <w:rsid w:val="00837613"/>
    <w:rsid w:val="008524FD"/>
    <w:rsid w:val="00871B2A"/>
    <w:rsid w:val="008F1486"/>
    <w:rsid w:val="009569C1"/>
    <w:rsid w:val="00964B8D"/>
    <w:rsid w:val="00986107"/>
    <w:rsid w:val="009A4729"/>
    <w:rsid w:val="009B3B4D"/>
    <w:rsid w:val="009F6FAD"/>
    <w:rsid w:val="00A023C8"/>
    <w:rsid w:val="00A743BC"/>
    <w:rsid w:val="00B46540"/>
    <w:rsid w:val="00B8654F"/>
    <w:rsid w:val="00BB0DB9"/>
    <w:rsid w:val="00BF48A5"/>
    <w:rsid w:val="00C37DB5"/>
    <w:rsid w:val="00C70665"/>
    <w:rsid w:val="00C712E5"/>
    <w:rsid w:val="00CD4FE0"/>
    <w:rsid w:val="00E54D9A"/>
    <w:rsid w:val="00EF7703"/>
    <w:rsid w:val="00F24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C5661"/>
  <w15:chartTrackingRefBased/>
  <w15:docId w15:val="{7F70C702-E1FD-443B-86D8-18A0B7A5E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97A"/>
    <w:pPr>
      <w:widowControl w:val="0"/>
    </w:pPr>
    <w:rPr>
      <w:rFonts w:ascii="Lucida Console" w:eastAsia="Times New Roman" w:hAnsi="Lucida Console" w:cs="Times New Roman"/>
      <w:snapToGrid w:val="0"/>
      <w:szCs w:val="20"/>
    </w:rPr>
  </w:style>
  <w:style w:type="paragraph" w:styleId="Heading2">
    <w:name w:val="heading 2"/>
    <w:basedOn w:val="Normal"/>
    <w:next w:val="Normal"/>
    <w:link w:val="Heading2Char"/>
    <w:uiPriority w:val="9"/>
    <w:semiHidden/>
    <w:unhideWhenUsed/>
    <w:qFormat/>
    <w:rsid w:val="00BB0DB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097A"/>
    <w:pPr>
      <w:ind w:left="720"/>
      <w:contextualSpacing/>
    </w:pPr>
  </w:style>
  <w:style w:type="paragraph" w:styleId="BalloonText">
    <w:name w:val="Balloon Text"/>
    <w:basedOn w:val="Normal"/>
    <w:link w:val="BalloonTextChar"/>
    <w:uiPriority w:val="99"/>
    <w:semiHidden/>
    <w:unhideWhenUsed/>
    <w:rsid w:val="00305C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C76"/>
    <w:rPr>
      <w:rFonts w:ascii="Segoe UI" w:eastAsia="Times New Roman" w:hAnsi="Segoe UI" w:cs="Segoe UI"/>
      <w:snapToGrid w:val="0"/>
      <w:sz w:val="18"/>
      <w:szCs w:val="18"/>
    </w:rPr>
  </w:style>
  <w:style w:type="character" w:customStyle="1" w:styleId="Heading2Char">
    <w:name w:val="Heading 2 Char"/>
    <w:basedOn w:val="DefaultParagraphFont"/>
    <w:link w:val="Heading2"/>
    <w:uiPriority w:val="9"/>
    <w:semiHidden/>
    <w:rsid w:val="00BB0DB9"/>
    <w:rPr>
      <w:rFonts w:asciiTheme="majorHAnsi" w:eastAsiaTheme="majorEastAsia" w:hAnsiTheme="majorHAnsi" w:cstheme="majorBidi"/>
      <w:snapToGrid w:val="0"/>
      <w:color w:val="2E74B5" w:themeColor="accent1" w:themeShade="BF"/>
      <w:sz w:val="26"/>
      <w:szCs w:val="26"/>
    </w:rPr>
  </w:style>
  <w:style w:type="paragraph" w:styleId="NoSpacing">
    <w:name w:val="No Spacing"/>
    <w:uiPriority w:val="1"/>
    <w:qFormat/>
    <w:rsid w:val="00BB0DB9"/>
    <w:pPr>
      <w:widowControl w:val="0"/>
    </w:pPr>
    <w:rPr>
      <w:rFonts w:ascii="Lucida Console" w:eastAsia="Times New Roman" w:hAnsi="Lucida Console" w:cs="Times New Roman"/>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9177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mich-my.sharepoint.com/personal/a1zolp_wmich_edu/_layouts/15/Doc.aspx?sourcedoc=%7BF1B9060C-A381-4EC6-82B3-8D0DD5F29CE8%7D&amp;file=Hazardous%20Exposure%20Incident%20Policy.docx&amp;action=default&amp;mobileredirect=true" TargetMode="External"/><Relationship Id="rId3" Type="http://schemas.openxmlformats.org/officeDocument/2006/relationships/settings" Target="settings.xml"/><Relationship Id="rId7" Type="http://schemas.openxmlformats.org/officeDocument/2006/relationships/hyperlink" Target="https://wmich-my.sharepoint.com/personal/a1zolp_wmich_edu/_layouts/15/Doc.aspx?sourcedoc=%7BF1B9060C-A381-4EC6-82B3-8D0DD5F29CE8%7D&amp;file=Hazardous%20Exposure%20Incident%20Policy.docx&amp;action=default&amp;mobileredirect=tr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mich-my.sharepoint.com/personal/a1zolp_wmich_edu/_layouts/15/Doc.aspx?sourcedoc=%7B5734F781-8738-41EF-8493-AC43870B2B0C%7D&amp;file=Student%20Health%20Policy.docx&amp;action=default&amp;mobileredirect=tru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Maupin Stoker</dc:creator>
  <cp:keywords/>
  <dc:description/>
  <cp:lastModifiedBy>Andrew M Zolp</cp:lastModifiedBy>
  <cp:revision>5</cp:revision>
  <cp:lastPrinted>2019-05-23T13:28:00Z</cp:lastPrinted>
  <dcterms:created xsi:type="dcterms:W3CDTF">2026-09-03T12:59:00Z</dcterms:created>
  <dcterms:modified xsi:type="dcterms:W3CDTF">2026-09-22T15:40:00Z</dcterms:modified>
</cp:coreProperties>
</file>