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E566" w14:textId="64B38709" w:rsidR="0023442B" w:rsidRDefault="00AB1E4D">
      <w:pPr>
        <w:pStyle w:val="Heading1"/>
        <w:spacing w:before="79" w:line="240" w:lineRule="auto"/>
        <w:ind w:left="1085" w:right="1085"/>
        <w:jc w:val="center"/>
        <w:rPr>
          <w:u w:val="none"/>
        </w:rPr>
      </w:pPr>
      <w:r>
        <w:rPr>
          <w:u w:val="none"/>
        </w:rPr>
        <w:t>PROFESSIONAL</w:t>
      </w:r>
      <w:r w:rsidR="00F600DD">
        <w:rPr>
          <w:spacing w:val="-9"/>
          <w:u w:val="none"/>
        </w:rPr>
        <w:t xml:space="preserve"> </w:t>
      </w:r>
      <w:r w:rsidR="00F600DD">
        <w:rPr>
          <w:u w:val="none"/>
        </w:rPr>
        <w:t>INSTRUCTOR</w:t>
      </w:r>
      <w:r w:rsidR="00F600DD">
        <w:rPr>
          <w:spacing w:val="-10"/>
          <w:u w:val="none"/>
        </w:rPr>
        <w:t xml:space="preserve"> </w:t>
      </w:r>
      <w:r w:rsidR="00F600DD">
        <w:rPr>
          <w:u w:val="none"/>
        </w:rPr>
        <w:t>EVALUATION</w:t>
      </w:r>
      <w:r w:rsidR="00F600DD">
        <w:rPr>
          <w:spacing w:val="-10"/>
          <w:u w:val="none"/>
        </w:rPr>
        <w:t xml:space="preserve"> </w:t>
      </w:r>
      <w:r w:rsidR="00F600DD">
        <w:rPr>
          <w:u w:val="none"/>
        </w:rPr>
        <w:t xml:space="preserve">PROCEDURES UNDER THE </w:t>
      </w:r>
      <w:r>
        <w:rPr>
          <w:u w:val="none"/>
        </w:rPr>
        <w:t>2025-</w:t>
      </w:r>
      <w:r w:rsidR="00571B3E">
        <w:rPr>
          <w:u w:val="none"/>
        </w:rPr>
        <w:t>2029</w:t>
      </w:r>
      <w:r w:rsidR="00F600DD">
        <w:rPr>
          <w:u w:val="none"/>
        </w:rPr>
        <w:t xml:space="preserve"> WMU-PIO AGREEMENT</w:t>
      </w:r>
    </w:p>
    <w:p w14:paraId="41F0E328" w14:textId="77777777" w:rsidR="0023442B" w:rsidRDefault="0023442B">
      <w:pPr>
        <w:pStyle w:val="BodyText"/>
        <w:spacing w:before="45"/>
        <w:rPr>
          <w:i/>
          <w:sz w:val="20"/>
        </w:rPr>
      </w:pPr>
    </w:p>
    <w:p w14:paraId="354CFD40" w14:textId="3C92F0AD" w:rsidR="0023442B" w:rsidRDefault="00F600DD" w:rsidP="00BC7D9D">
      <w:pPr>
        <w:pStyle w:val="BodyText"/>
      </w:pPr>
      <w:r>
        <w:t>The 20</w:t>
      </w:r>
      <w:r w:rsidR="00571B3E">
        <w:t xml:space="preserve">25-2029 </w:t>
      </w:r>
      <w:r>
        <w:t xml:space="preserve">WMU-PIO Agreement has </w:t>
      </w:r>
      <w:r w:rsidR="006B592A">
        <w:t>simplified</w:t>
      </w:r>
      <w:r>
        <w:t xml:space="preserve"> previous evaluation practices for</w:t>
      </w:r>
      <w:r>
        <w:rPr>
          <w:spacing w:val="-4"/>
        </w:rPr>
        <w:t xml:space="preserve"> </w:t>
      </w:r>
      <w:r w:rsidR="00FE2F73">
        <w:t>professional</w:t>
      </w:r>
      <w:r>
        <w:rPr>
          <w:spacing w:val="-4"/>
        </w:rPr>
        <w:t xml:space="preserve"> </w:t>
      </w:r>
      <w:r>
        <w:t>instructors</w:t>
      </w:r>
      <w:r w:rsidR="006B592A">
        <w:t xml:space="preserve"> and </w:t>
      </w:r>
      <w:proofErr w:type="gramStart"/>
      <w:r w:rsidR="006B592A">
        <w:t>administrators</w:t>
      </w:r>
      <w:r w:rsidR="004A1815">
        <w:t>,</w:t>
      </w:r>
      <w:r w:rsidR="00656B2B">
        <w:t xml:space="preserve"> and</w:t>
      </w:r>
      <w:proofErr w:type="gramEnd"/>
      <w:r w:rsidR="00656B2B">
        <w:t xml:space="preserve"> also stepped up the due date</w:t>
      </w:r>
      <w:r w:rsidR="004A1815">
        <w:t xml:space="preserve"> to May 15. As such they evaluate Summer I of one year through Spring semester the following year.</w:t>
      </w:r>
    </w:p>
    <w:p w14:paraId="659C3F30" w14:textId="77777777" w:rsidR="0023442B" w:rsidRDefault="0023442B">
      <w:pPr>
        <w:pStyle w:val="BodyText"/>
      </w:pPr>
    </w:p>
    <w:p w14:paraId="36310475" w14:textId="7F9504C8" w:rsidR="0023442B" w:rsidRDefault="00656B2B">
      <w:pPr>
        <w:pStyle w:val="BodyText"/>
        <w:ind w:left="-1"/>
      </w:pPr>
      <w:r>
        <w:t>Performance r</w:t>
      </w:r>
      <w:r w:rsidR="00F600DD">
        <w:t>eviews</w:t>
      </w:r>
      <w:r w:rsidR="00BC7D9D">
        <w:t xml:space="preserve"> </w:t>
      </w:r>
      <w:r w:rsidR="00F600DD">
        <w:t xml:space="preserve">for </w:t>
      </w:r>
      <w:r w:rsidR="00BC7D9D">
        <w:t>professional</w:t>
      </w:r>
      <w:r w:rsidR="00F600DD">
        <w:t xml:space="preserve"> instructors </w:t>
      </w:r>
      <w:r>
        <w:t>and senior professional instructors must</w:t>
      </w:r>
      <w:r w:rsidR="00F600DD">
        <w:t xml:space="preserve"> be conducted</w:t>
      </w:r>
      <w:r w:rsidR="003D104F">
        <w:t xml:space="preserve"> annually</w:t>
      </w:r>
      <w:r w:rsidR="00F600DD">
        <w:t>.</w:t>
      </w:r>
      <w:r w:rsidR="00F600DD">
        <w:rPr>
          <w:spacing w:val="40"/>
        </w:rPr>
        <w:t xml:space="preserve"> </w:t>
      </w:r>
      <w:r w:rsidR="004A1815">
        <w:t>A</w:t>
      </w:r>
      <w:r w:rsidR="00F600DD">
        <w:t>ll</w:t>
      </w:r>
      <w:r w:rsidR="00F600DD">
        <w:rPr>
          <w:spacing w:val="-3"/>
        </w:rPr>
        <w:t xml:space="preserve"> </w:t>
      </w:r>
      <w:r w:rsidR="00F600DD">
        <w:t>supervisors</w:t>
      </w:r>
      <w:r w:rsidR="00F600DD">
        <w:rPr>
          <w:spacing w:val="-3"/>
        </w:rPr>
        <w:t xml:space="preserve"> </w:t>
      </w:r>
      <w:r w:rsidR="00F600DD">
        <w:t>responsible</w:t>
      </w:r>
      <w:r w:rsidR="00F600DD">
        <w:rPr>
          <w:spacing w:val="-4"/>
        </w:rPr>
        <w:t xml:space="preserve"> </w:t>
      </w:r>
      <w:r w:rsidR="00F600DD">
        <w:t>for</w:t>
      </w:r>
      <w:r w:rsidR="00F600DD">
        <w:rPr>
          <w:spacing w:val="-4"/>
        </w:rPr>
        <w:t xml:space="preserve"> </w:t>
      </w:r>
      <w:r w:rsidR="00F600DD">
        <w:t>the</w:t>
      </w:r>
      <w:r w:rsidR="00F600DD">
        <w:rPr>
          <w:spacing w:val="-2"/>
        </w:rPr>
        <w:t xml:space="preserve"> </w:t>
      </w:r>
      <w:r w:rsidR="00F600DD">
        <w:t>evaluation</w:t>
      </w:r>
      <w:r w:rsidR="00F600DD">
        <w:rPr>
          <w:spacing w:val="-3"/>
        </w:rPr>
        <w:t xml:space="preserve"> </w:t>
      </w:r>
      <w:r w:rsidR="00F600DD">
        <w:t xml:space="preserve">of </w:t>
      </w:r>
      <w:r w:rsidR="00FE2F73">
        <w:t xml:space="preserve">professional </w:t>
      </w:r>
      <w:r w:rsidR="00F600DD">
        <w:t xml:space="preserve">instructors </w:t>
      </w:r>
      <w:r w:rsidR="004A1815">
        <w:t xml:space="preserve">should </w:t>
      </w:r>
      <w:r w:rsidR="00F600DD">
        <w:t xml:space="preserve">consult the detailed description of the </w:t>
      </w:r>
      <w:r>
        <w:t xml:space="preserve">“performance </w:t>
      </w:r>
      <w:r w:rsidR="00F600DD">
        <w:t>evaluation</w:t>
      </w:r>
      <w:r>
        <w:t>”</w:t>
      </w:r>
      <w:r w:rsidR="00F600DD">
        <w:t xml:space="preserve"> in Article 11 of the </w:t>
      </w:r>
      <w:r>
        <w:t xml:space="preserve">current </w:t>
      </w:r>
      <w:r w:rsidR="00F600DD">
        <w:t>WMU-PIO Agreement</w:t>
      </w:r>
      <w:r>
        <w:t>.</w:t>
      </w:r>
    </w:p>
    <w:p w14:paraId="1184C530" w14:textId="7EFD64B2" w:rsidR="0023442B" w:rsidRDefault="00F600DD" w:rsidP="00656B2B">
      <w:pPr>
        <w:pStyle w:val="Heading1"/>
        <w:spacing w:before="17" w:line="540" w:lineRule="atLeast"/>
        <w:ind w:right="992"/>
        <w:rPr>
          <w:b w:val="0"/>
          <w:u w:val="none"/>
        </w:rPr>
      </w:pPr>
      <w:r>
        <w:t>Classroom/Online Course Observations</w:t>
      </w:r>
      <w:r>
        <w:rPr>
          <w:b w:val="0"/>
          <w:u w:val="none"/>
        </w:rPr>
        <w:t>:</w:t>
      </w:r>
    </w:p>
    <w:p w14:paraId="2D8D7D42" w14:textId="3FA63356" w:rsidR="0023442B" w:rsidRDefault="00F600DD">
      <w:pPr>
        <w:pStyle w:val="BodyText"/>
        <w:spacing w:before="7"/>
      </w:pPr>
      <w:r>
        <w:t>Observation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 w:rsidR="00FE2F73">
        <w:t>professional</w:t>
      </w:r>
      <w:r>
        <w:rPr>
          <w:spacing w:val="-4"/>
        </w:rPr>
        <w:t xml:space="preserve"> </w:t>
      </w:r>
      <w:r>
        <w:t>instructor’s</w:t>
      </w:r>
      <w:r>
        <w:rPr>
          <w:spacing w:val="-1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term of an instructor’s initial appointment in a department</w:t>
      </w:r>
      <w:r w:rsidR="004A1815">
        <w:t xml:space="preserve"> and in any future semester/session when requested by either the instructor or the chair</w:t>
      </w:r>
      <w:r w:rsidRPr="00A164B4">
        <w:t xml:space="preserve">. </w:t>
      </w:r>
      <w:r w:rsidR="006127E3" w:rsidRPr="00A164B4">
        <w:t xml:space="preserve">When a direct observation is not feasible </w:t>
      </w:r>
      <w:r>
        <w:t>(</w:t>
      </w:r>
      <w:r w:rsidR="006127E3">
        <w:t xml:space="preserve">for example, </w:t>
      </w:r>
      <w:r w:rsidR="00A164B4">
        <w:t>asynchronous</w:t>
      </w:r>
      <w:r w:rsidR="006127E3">
        <w:t xml:space="preserve"> courses) alternate methods to monitor instructional effectiveness shall be discussed and mutually agreed upon. </w:t>
      </w:r>
      <w:r w:rsidR="00A164B4">
        <w:t>For face-to-face off campus courses, it is preferable for observations to be done in the live classroom.</w:t>
      </w:r>
    </w:p>
    <w:p w14:paraId="3DD8E653" w14:textId="77777777" w:rsidR="009C33A3" w:rsidRDefault="009C33A3">
      <w:pPr>
        <w:pStyle w:val="BodyText"/>
        <w:spacing w:before="7"/>
      </w:pPr>
    </w:p>
    <w:p w14:paraId="280B1702" w14:textId="265525E9" w:rsidR="0023442B" w:rsidRDefault="00DF2C51">
      <w:pPr>
        <w:pStyle w:val="BodyText"/>
        <w:ind w:right="56"/>
      </w:pPr>
      <w:r>
        <w:t xml:space="preserve">A date and the designated observer shall be arranged by mutual agreement between the employee and the </w:t>
      </w:r>
      <w:r w:rsidR="00A164B4">
        <w:t xml:space="preserve">chair or their </w:t>
      </w:r>
      <w:r>
        <w:t>designe</w:t>
      </w:r>
      <w:r w:rsidR="00484B52">
        <w:t xml:space="preserve">e. </w:t>
      </w:r>
      <w:r w:rsidR="005E3EDE">
        <w:t>W</w:t>
      </w:r>
      <w:r w:rsidR="00F600DD">
        <w:t xml:space="preserve">ritten feedback on the observation to the instructor </w:t>
      </w:r>
      <w:r w:rsidR="005E3EDE">
        <w:t xml:space="preserve">shall be provided </w:t>
      </w:r>
      <w:r w:rsidR="00A164B4">
        <w:t>in a timely fashion and before the last week of the semester/</w:t>
      </w:r>
      <w:r w:rsidR="004A1815">
        <w:t>session</w:t>
      </w:r>
      <w:r w:rsidR="00F600DD">
        <w:t xml:space="preserve"> </w:t>
      </w:r>
      <w:r w:rsidR="00A164B4">
        <w:t xml:space="preserve">in </w:t>
      </w:r>
      <w:r w:rsidR="00F600DD">
        <w:t>which the observation</w:t>
      </w:r>
      <w:r w:rsidR="00F600DD">
        <w:rPr>
          <w:spacing w:val="-3"/>
        </w:rPr>
        <w:t xml:space="preserve"> </w:t>
      </w:r>
      <w:r w:rsidR="00F600DD">
        <w:t>took</w:t>
      </w:r>
      <w:r w:rsidR="00F600DD">
        <w:rPr>
          <w:spacing w:val="-3"/>
        </w:rPr>
        <w:t xml:space="preserve"> </w:t>
      </w:r>
      <w:r w:rsidR="00F600DD">
        <w:t>place.</w:t>
      </w:r>
      <w:r w:rsidR="00F600DD">
        <w:rPr>
          <w:spacing w:val="-1"/>
        </w:rPr>
        <w:t xml:space="preserve"> </w:t>
      </w:r>
      <w:r w:rsidR="00F600DD">
        <w:t>A</w:t>
      </w:r>
      <w:r w:rsidR="00F600DD">
        <w:rPr>
          <w:spacing w:val="-4"/>
        </w:rPr>
        <w:t xml:space="preserve"> </w:t>
      </w:r>
      <w:r w:rsidR="00F600DD">
        <w:t>copy</w:t>
      </w:r>
      <w:r w:rsidR="00F600DD">
        <w:rPr>
          <w:spacing w:val="-8"/>
        </w:rPr>
        <w:t xml:space="preserve"> </w:t>
      </w:r>
      <w:r w:rsidR="00F600DD">
        <w:t>of</w:t>
      </w:r>
      <w:r w:rsidR="00F600DD">
        <w:rPr>
          <w:spacing w:val="-4"/>
        </w:rPr>
        <w:t xml:space="preserve"> </w:t>
      </w:r>
      <w:r w:rsidR="00F600DD">
        <w:t>the</w:t>
      </w:r>
      <w:r w:rsidR="00F600DD">
        <w:rPr>
          <w:spacing w:val="-4"/>
        </w:rPr>
        <w:t xml:space="preserve"> </w:t>
      </w:r>
      <w:r w:rsidR="00F600DD">
        <w:t>written</w:t>
      </w:r>
      <w:r w:rsidR="00F600DD">
        <w:rPr>
          <w:spacing w:val="-3"/>
        </w:rPr>
        <w:t xml:space="preserve"> </w:t>
      </w:r>
      <w:r w:rsidR="00F600DD">
        <w:t>feedback</w:t>
      </w:r>
      <w:r w:rsidR="00F600DD">
        <w:rPr>
          <w:spacing w:val="-3"/>
        </w:rPr>
        <w:t xml:space="preserve"> </w:t>
      </w:r>
      <w:r w:rsidR="00F600DD">
        <w:t>should</w:t>
      </w:r>
      <w:r w:rsidR="00F600DD">
        <w:rPr>
          <w:spacing w:val="-3"/>
        </w:rPr>
        <w:t xml:space="preserve"> </w:t>
      </w:r>
      <w:r w:rsidR="00F600DD">
        <w:t>be</w:t>
      </w:r>
      <w:r w:rsidR="00F600DD">
        <w:rPr>
          <w:spacing w:val="-4"/>
        </w:rPr>
        <w:t xml:space="preserve"> </w:t>
      </w:r>
      <w:r w:rsidR="00A164B4">
        <w:rPr>
          <w:spacing w:val="-4"/>
        </w:rPr>
        <w:t xml:space="preserve">provided to the </w:t>
      </w:r>
      <w:r w:rsidR="004A1815">
        <w:rPr>
          <w:spacing w:val="-4"/>
        </w:rPr>
        <w:t xml:space="preserve">instructor and the </w:t>
      </w:r>
      <w:proofErr w:type="gramStart"/>
      <w:r w:rsidR="00A164B4">
        <w:rPr>
          <w:spacing w:val="-4"/>
        </w:rPr>
        <w:t>chair</w:t>
      </w:r>
      <w:r w:rsidR="004A1815">
        <w:rPr>
          <w:spacing w:val="-4"/>
        </w:rPr>
        <w:t>,</w:t>
      </w:r>
      <w:r w:rsidR="00A164B4">
        <w:rPr>
          <w:spacing w:val="-4"/>
        </w:rPr>
        <w:t xml:space="preserve"> and</w:t>
      </w:r>
      <w:proofErr w:type="gramEnd"/>
      <w:r w:rsidR="00A164B4">
        <w:rPr>
          <w:spacing w:val="-4"/>
        </w:rPr>
        <w:t xml:space="preserve"> </w:t>
      </w:r>
      <w:r w:rsidR="00F600DD">
        <w:t>included</w:t>
      </w:r>
      <w:r w:rsidR="00F600DD">
        <w:rPr>
          <w:spacing w:val="-1"/>
        </w:rPr>
        <w:t xml:space="preserve"> </w:t>
      </w:r>
      <w:r w:rsidR="00F600DD">
        <w:t>in</w:t>
      </w:r>
      <w:r w:rsidR="00F600DD">
        <w:rPr>
          <w:spacing w:val="-3"/>
        </w:rPr>
        <w:t xml:space="preserve"> </w:t>
      </w:r>
      <w:r w:rsidR="00F600DD">
        <w:t>the</w:t>
      </w:r>
      <w:r w:rsidR="00F600DD">
        <w:rPr>
          <w:spacing w:val="-4"/>
        </w:rPr>
        <w:t xml:space="preserve"> </w:t>
      </w:r>
      <w:r w:rsidR="00F600DD">
        <w:t>instructor’s departmental fil</w:t>
      </w:r>
      <w:r w:rsidR="00F600DD" w:rsidRPr="00A164B4">
        <w:t>e</w:t>
      </w:r>
      <w:r w:rsidR="00A164B4">
        <w:t xml:space="preserve">. These should be used as one artifact for the annual </w:t>
      </w:r>
      <w:r w:rsidR="00F600DD" w:rsidRPr="00A164B4">
        <w:t>performance review.</w:t>
      </w:r>
      <w:r w:rsidR="00F600DD">
        <w:t xml:space="preserve"> Additional information about scheduling and performing observations is </w:t>
      </w:r>
      <w:r w:rsidR="00A164B4">
        <w:t>in Article 11.</w:t>
      </w:r>
    </w:p>
    <w:p w14:paraId="40FCCA59" w14:textId="77777777" w:rsidR="00A164B4" w:rsidRDefault="00A164B4">
      <w:pPr>
        <w:pStyle w:val="BodyText"/>
        <w:ind w:right="56"/>
      </w:pPr>
    </w:p>
    <w:p w14:paraId="338FFC74" w14:textId="33893438" w:rsidR="00A164B4" w:rsidRDefault="00A164B4">
      <w:pPr>
        <w:pStyle w:val="BodyText"/>
        <w:ind w:right="56"/>
      </w:pPr>
      <w:r>
        <w:t xml:space="preserve">Please note that </w:t>
      </w:r>
      <w:r w:rsidR="004A1815">
        <w:t xml:space="preserve">because </w:t>
      </w:r>
      <w:r>
        <w:t>Article 11 allows additional classroom observations beyond this first semester and it is helpful if departments have a clear routine on this issue rather than an instructor-by-instructor approach.</w:t>
      </w:r>
      <w:r w:rsidR="004A1815">
        <w:t xml:space="preserve"> For example, if one annual evaluation provides suggestions for improvement, observations in the following year may be considered routine.</w:t>
      </w:r>
    </w:p>
    <w:p w14:paraId="4C7E6CE3" w14:textId="77777777" w:rsidR="0023442B" w:rsidRDefault="0023442B">
      <w:pPr>
        <w:pStyle w:val="BodyText"/>
      </w:pPr>
    </w:p>
    <w:p w14:paraId="29240D0B" w14:textId="13C1B0DD" w:rsidR="0023442B" w:rsidRDefault="006127E3">
      <w:pPr>
        <w:pStyle w:val="Heading1"/>
        <w:spacing w:line="240" w:lineRule="auto"/>
        <w:rPr>
          <w:b w:val="0"/>
          <w:u w:val="none"/>
        </w:rPr>
      </w:pPr>
      <w:r>
        <w:t xml:space="preserve">Short File of </w:t>
      </w:r>
      <w:r w:rsidR="00F600DD">
        <w:t>Course</w:t>
      </w:r>
      <w:r w:rsidR="00F600DD">
        <w:rPr>
          <w:spacing w:val="-3"/>
        </w:rPr>
        <w:t xml:space="preserve"> </w:t>
      </w:r>
      <w:r w:rsidR="00F600DD">
        <w:rPr>
          <w:spacing w:val="-2"/>
        </w:rPr>
        <w:t>Materials</w:t>
      </w:r>
      <w:r w:rsidR="00F600DD">
        <w:rPr>
          <w:b w:val="0"/>
          <w:spacing w:val="-2"/>
          <w:u w:val="none"/>
        </w:rPr>
        <w:t>:</w:t>
      </w:r>
    </w:p>
    <w:p w14:paraId="67152AE5" w14:textId="3D40325F" w:rsidR="0023442B" w:rsidRDefault="00A164B4">
      <w:pPr>
        <w:pStyle w:val="BodyText"/>
        <w:ind w:left="-1"/>
      </w:pPr>
      <w:r>
        <w:t>P</w:t>
      </w:r>
      <w:r w:rsidR="00FE2F73">
        <w:t>rofessional</w:t>
      </w:r>
      <w:r w:rsidR="00F600DD">
        <w:t xml:space="preserve"> instructor</w:t>
      </w:r>
      <w:r>
        <w:t>s</w:t>
      </w:r>
      <w:r w:rsidR="00F600DD">
        <w:t xml:space="preserve"> shall be responsible for submitting to the department</w:t>
      </w:r>
      <w:r w:rsidR="00F600DD">
        <w:rPr>
          <w:spacing w:val="-2"/>
        </w:rPr>
        <w:t xml:space="preserve"> </w:t>
      </w:r>
      <w:r w:rsidR="00963F2F">
        <w:t>no later than April</w:t>
      </w:r>
      <w:r w:rsidR="006127E3">
        <w:t xml:space="preserve"> 15 </w:t>
      </w:r>
      <w:r w:rsidR="00F600DD">
        <w:t>a</w:t>
      </w:r>
      <w:r w:rsidR="00F600DD">
        <w:rPr>
          <w:spacing w:val="-3"/>
        </w:rPr>
        <w:t xml:space="preserve"> </w:t>
      </w:r>
      <w:r w:rsidR="00F600DD">
        <w:t>short</w:t>
      </w:r>
      <w:r w:rsidR="00F600DD">
        <w:rPr>
          <w:spacing w:val="-2"/>
        </w:rPr>
        <w:t xml:space="preserve"> </w:t>
      </w:r>
      <w:r w:rsidR="00F600DD">
        <w:t>file</w:t>
      </w:r>
      <w:r w:rsidR="00F600DD">
        <w:rPr>
          <w:spacing w:val="-3"/>
        </w:rPr>
        <w:t xml:space="preserve"> </w:t>
      </w:r>
      <w:r w:rsidR="00F600DD">
        <w:t>(electronic</w:t>
      </w:r>
      <w:r w:rsidR="00F600DD">
        <w:rPr>
          <w:spacing w:val="-3"/>
        </w:rPr>
        <w:t xml:space="preserve"> </w:t>
      </w:r>
      <w:r w:rsidR="00F600DD">
        <w:t>or</w:t>
      </w:r>
      <w:r w:rsidR="00F600DD">
        <w:rPr>
          <w:spacing w:val="-3"/>
        </w:rPr>
        <w:t xml:space="preserve"> </w:t>
      </w:r>
      <w:r w:rsidR="00F600DD">
        <w:t>physical)</w:t>
      </w:r>
      <w:r w:rsidR="00F600DD">
        <w:rPr>
          <w:spacing w:val="-3"/>
        </w:rPr>
        <w:t xml:space="preserve"> </w:t>
      </w:r>
      <w:r w:rsidR="00F600DD">
        <w:t>that</w:t>
      </w:r>
      <w:r w:rsidR="00F600DD">
        <w:rPr>
          <w:spacing w:val="-2"/>
        </w:rPr>
        <w:t xml:space="preserve"> </w:t>
      </w:r>
      <w:r w:rsidR="00F600DD">
        <w:t>contains</w:t>
      </w:r>
      <w:r w:rsidR="00F600DD">
        <w:rPr>
          <w:spacing w:val="-2"/>
        </w:rPr>
        <w:t xml:space="preserve"> </w:t>
      </w:r>
      <w:r w:rsidR="00F600DD">
        <w:t>a sample of key materials for use in the annual performance review.</w:t>
      </w:r>
      <w:r w:rsidR="00F600DD">
        <w:rPr>
          <w:spacing w:val="40"/>
        </w:rPr>
        <w:t xml:space="preserve"> </w:t>
      </w:r>
      <w:r w:rsidR="00F600DD">
        <w:t xml:space="preserve">At a minimum the materials submitted should </w:t>
      </w:r>
      <w:r>
        <w:t>include</w:t>
      </w:r>
      <w:r w:rsidR="00F600DD">
        <w:t xml:space="preserve"> the course syllabus.</w:t>
      </w:r>
      <w:r w:rsidR="00F600DD">
        <w:rPr>
          <w:spacing w:val="40"/>
        </w:rPr>
        <w:t xml:space="preserve"> </w:t>
      </w:r>
      <w:r w:rsidR="00F600DD">
        <w:t>The</w:t>
      </w:r>
      <w:r w:rsidR="003E23FD">
        <w:t xml:space="preserve">se submissions should be </w:t>
      </w:r>
      <w:r w:rsidR="003E23FD">
        <w:t>included</w:t>
      </w:r>
      <w:r w:rsidR="003E23FD">
        <w:rPr>
          <w:spacing w:val="-1"/>
        </w:rPr>
        <w:t xml:space="preserve"> </w:t>
      </w:r>
      <w:r w:rsidR="003E23FD">
        <w:t>in</w:t>
      </w:r>
      <w:r w:rsidR="003E23FD">
        <w:rPr>
          <w:spacing w:val="-3"/>
        </w:rPr>
        <w:t xml:space="preserve"> </w:t>
      </w:r>
      <w:r w:rsidR="003E23FD">
        <w:t>the</w:t>
      </w:r>
      <w:r w:rsidR="003E23FD">
        <w:rPr>
          <w:spacing w:val="-4"/>
        </w:rPr>
        <w:t xml:space="preserve"> </w:t>
      </w:r>
      <w:r w:rsidR="003E23FD">
        <w:t>instructor’s departmental fil</w:t>
      </w:r>
      <w:r w:rsidR="003E23FD" w:rsidRPr="00A164B4">
        <w:t>e</w:t>
      </w:r>
      <w:r w:rsidR="00F600DD">
        <w:t xml:space="preserve"> </w:t>
      </w:r>
      <w:r w:rsidR="003E23FD">
        <w:t>and be used as evidence in</w:t>
      </w:r>
      <w:r w:rsidR="00F600DD">
        <w:t xml:space="preserve"> annua</w:t>
      </w:r>
      <w:r w:rsidR="003E23FD">
        <w:t xml:space="preserve">l </w:t>
      </w:r>
      <w:r w:rsidR="00F600DD">
        <w:t>review</w:t>
      </w:r>
      <w:r w:rsidR="003E23FD">
        <w:t>s</w:t>
      </w:r>
      <w:r w:rsidR="00F600DD">
        <w:t>. A</w:t>
      </w:r>
      <w:r w:rsidR="003E23FD">
        <w:t>rticle 11.2.2 provides a</w:t>
      </w:r>
      <w:r w:rsidR="00F600DD">
        <w:t xml:space="preserve">dditional detail on suggested course materials </w:t>
      </w:r>
      <w:r w:rsidR="003E23FD">
        <w:t>that instructors may wish to provide.</w:t>
      </w:r>
      <w:r w:rsidR="004A1815">
        <w:t xml:space="preserve"> It would be helpful if the chair notified all professional instructors prior to spring break about this April 15 deadline as annual reviews must be conducted even when a professional instructor does not submit any materials.</w:t>
      </w:r>
    </w:p>
    <w:p w14:paraId="321B9378" w14:textId="77777777" w:rsidR="0023442B" w:rsidRDefault="0023442B">
      <w:pPr>
        <w:pStyle w:val="BodyText"/>
        <w:spacing w:before="3"/>
      </w:pPr>
    </w:p>
    <w:p w14:paraId="66F53B3B" w14:textId="77777777" w:rsidR="0023442B" w:rsidRDefault="00F600DD">
      <w:pPr>
        <w:pStyle w:val="Heading1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Evaluations:</w:t>
      </w:r>
    </w:p>
    <w:p w14:paraId="68EE4210" w14:textId="4E60E2A1" w:rsidR="0023442B" w:rsidRDefault="003E23FD">
      <w:pPr>
        <w:pStyle w:val="BodyText"/>
        <w:ind w:left="-1"/>
      </w:pPr>
      <w:r>
        <w:t>P</w:t>
      </w:r>
      <w:r w:rsidR="00FE2F73">
        <w:t>rofessional</w:t>
      </w:r>
      <w:r w:rsidR="00F600DD">
        <w:rPr>
          <w:spacing w:val="-4"/>
        </w:rPr>
        <w:t xml:space="preserve"> </w:t>
      </w:r>
      <w:r w:rsidR="00F600DD">
        <w:t>instructor</w:t>
      </w:r>
      <w:r>
        <w:rPr>
          <w:spacing w:val="-4"/>
        </w:rPr>
        <w:t>s are</w:t>
      </w:r>
      <w:r w:rsidR="00F600DD">
        <w:rPr>
          <w:spacing w:val="-3"/>
        </w:rPr>
        <w:t xml:space="preserve"> </w:t>
      </w:r>
      <w:r w:rsidR="00F600DD">
        <w:t>required</w:t>
      </w:r>
      <w:r w:rsidR="00F600DD">
        <w:rPr>
          <w:spacing w:val="-3"/>
        </w:rPr>
        <w:t xml:space="preserve"> </w:t>
      </w:r>
      <w:r w:rsidR="00F600DD">
        <w:t>to</w:t>
      </w:r>
      <w:r w:rsidR="00F600DD">
        <w:rPr>
          <w:spacing w:val="-1"/>
        </w:rPr>
        <w:t xml:space="preserve"> </w:t>
      </w:r>
      <w:r w:rsidR="00F600DD">
        <w:t>evaluate</w:t>
      </w:r>
      <w:r w:rsidR="00F600DD">
        <w:rPr>
          <w:spacing w:val="-4"/>
        </w:rPr>
        <w:t xml:space="preserve"> </w:t>
      </w:r>
      <w:r w:rsidR="00F600DD">
        <w:t>all</w:t>
      </w:r>
      <w:r w:rsidR="00F600DD">
        <w:rPr>
          <w:spacing w:val="-3"/>
        </w:rPr>
        <w:t xml:space="preserve"> </w:t>
      </w:r>
      <w:r w:rsidR="00F600DD">
        <w:t>courses</w:t>
      </w:r>
      <w:r w:rsidR="00F600DD">
        <w:rPr>
          <w:spacing w:val="-3"/>
        </w:rPr>
        <w:t xml:space="preserve"> </w:t>
      </w:r>
      <w:r w:rsidR="00F600DD">
        <w:t>taught</w:t>
      </w:r>
      <w:r w:rsidR="00F600DD">
        <w:rPr>
          <w:spacing w:val="-3"/>
        </w:rPr>
        <w:t xml:space="preserve"> </w:t>
      </w:r>
      <w:r w:rsidR="00F600DD">
        <w:t>in all semesters using</w:t>
      </w:r>
      <w:r w:rsidR="00F600DD">
        <w:rPr>
          <w:spacing w:val="-1"/>
        </w:rPr>
        <w:t xml:space="preserve"> </w:t>
      </w:r>
      <w:r w:rsidR="00F600DD">
        <w:t xml:space="preserve">the University-approved instrument (currently, ICES). </w:t>
      </w:r>
      <w:r>
        <w:t>S</w:t>
      </w:r>
      <w:r w:rsidR="00F600DD">
        <w:t>tudent ratings for each course taught by each instructor during the year should be reviewed as part of annual performance review</w:t>
      </w:r>
      <w:r>
        <w:t>s</w:t>
      </w:r>
      <w:r w:rsidR="00F600DD">
        <w:t>, and a copy of the ratings should be placed in each instructor’s departmental file.</w:t>
      </w:r>
    </w:p>
    <w:p w14:paraId="176954C7" w14:textId="77777777" w:rsidR="0023442B" w:rsidRDefault="0023442B">
      <w:pPr>
        <w:pStyle w:val="BodyText"/>
        <w:sectPr w:rsidR="0023442B" w:rsidSect="0077239D">
          <w:type w:val="continuous"/>
          <w:pgSz w:w="12240" w:h="15840"/>
          <w:pgMar w:top="1360" w:right="1440" w:bottom="280" w:left="1440" w:header="720" w:footer="432" w:gutter="0"/>
          <w:cols w:space="720"/>
          <w:docGrid w:linePitch="299"/>
        </w:sectPr>
      </w:pPr>
    </w:p>
    <w:p w14:paraId="3EE61E86" w14:textId="77777777" w:rsidR="0023442B" w:rsidRDefault="00F600DD">
      <w:pPr>
        <w:pStyle w:val="Heading1"/>
        <w:spacing w:before="79"/>
        <w:rPr>
          <w:u w:val="none"/>
        </w:rPr>
      </w:pPr>
      <w:r>
        <w:lastRenderedPageBreak/>
        <w:t>Annual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Ratings;</w:t>
      </w:r>
    </w:p>
    <w:p w14:paraId="1D2DD86B" w14:textId="02F8C27D" w:rsidR="0023442B" w:rsidRDefault="00F600DD">
      <w:pPr>
        <w:pStyle w:val="BodyText"/>
        <w:spacing w:line="274" w:lineRule="exact"/>
        <w:rPr>
          <w:spacing w:val="-2"/>
        </w:rPr>
      </w:pPr>
      <w:r>
        <w:t>Annual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FE2F73">
        <w:t>professional</w:t>
      </w:r>
      <w:r>
        <w:rPr>
          <w:spacing w:val="-2"/>
        </w:rPr>
        <w:t xml:space="preserve"> </w:t>
      </w:r>
      <w:r>
        <w:t>instructors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1C49F22E" w14:textId="77777777" w:rsidR="0065369C" w:rsidRDefault="0065369C">
      <w:pPr>
        <w:pStyle w:val="BodyText"/>
        <w:spacing w:line="274" w:lineRule="exact"/>
      </w:pPr>
    </w:p>
    <w:p w14:paraId="254F2023" w14:textId="77777777" w:rsidR="0065369C" w:rsidRDefault="00F600DD">
      <w:pPr>
        <w:pStyle w:val="BodyText"/>
        <w:rPr>
          <w:spacing w:val="40"/>
        </w:rPr>
      </w:pPr>
      <w:r>
        <w:t>(a)</w:t>
      </w:r>
      <w:r>
        <w:rPr>
          <w:spacing w:val="-4"/>
        </w:rPr>
        <w:t xml:space="preserve"> </w:t>
      </w:r>
      <w:r>
        <w:t>Exceeds</w:t>
      </w:r>
      <w:r>
        <w:rPr>
          <w:spacing w:val="-2"/>
        </w:rPr>
        <w:t xml:space="preserve"> </w:t>
      </w:r>
      <w:r>
        <w:t>expectations;</w:t>
      </w:r>
      <w:r>
        <w:rPr>
          <w:spacing w:val="-3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expectations;</w:t>
      </w:r>
      <w:r>
        <w:rPr>
          <w:spacing w:val="-2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expectations.</w:t>
      </w:r>
      <w:r>
        <w:rPr>
          <w:spacing w:val="40"/>
        </w:rPr>
        <w:t xml:space="preserve"> </w:t>
      </w:r>
    </w:p>
    <w:p w14:paraId="72A36F7B" w14:textId="77777777" w:rsidR="0065369C" w:rsidRDefault="0065369C">
      <w:pPr>
        <w:pStyle w:val="BodyText"/>
      </w:pPr>
    </w:p>
    <w:p w14:paraId="02D43D44" w14:textId="377F2CA0" w:rsidR="0023442B" w:rsidRDefault="00F600DD">
      <w:pPr>
        <w:pStyle w:val="BodyText"/>
      </w:pPr>
      <w:r>
        <w:t>“Meets”</w:t>
      </w:r>
      <w:r>
        <w:rPr>
          <w:spacing w:val="-4"/>
        </w:rPr>
        <w:t xml:space="preserve"> </w:t>
      </w:r>
      <w:r>
        <w:t>or “Exceeds” expectations are considered “positive” ratings.</w:t>
      </w:r>
      <w:r w:rsidR="003E23FD">
        <w:t xml:space="preserve"> From a supervisory perspective it is helpful if any “meets expectations” review provides areas for improvement that could help the instructor obtain an “exceeds expectations” on the next annual review.</w:t>
      </w:r>
    </w:p>
    <w:p w14:paraId="38D28D0F" w14:textId="77777777" w:rsidR="003E23FD" w:rsidRDefault="003E23FD">
      <w:pPr>
        <w:pStyle w:val="BodyText"/>
      </w:pPr>
    </w:p>
    <w:p w14:paraId="6EDEFC1F" w14:textId="1D18B5E5" w:rsidR="003E23FD" w:rsidRPr="003E23FD" w:rsidRDefault="003E23FD">
      <w:pPr>
        <w:pStyle w:val="BodyText"/>
        <w:rPr>
          <w:b/>
          <w:bCs/>
        </w:rPr>
      </w:pPr>
      <w:r w:rsidRPr="003E23FD">
        <w:rPr>
          <w:b/>
          <w:bCs/>
        </w:rPr>
        <w:t xml:space="preserve">“Does not meet expectation” reviews </w:t>
      </w:r>
      <w:r>
        <w:rPr>
          <w:b/>
          <w:bCs/>
        </w:rPr>
        <w:t>must</w:t>
      </w:r>
      <w:r w:rsidRPr="003E23FD">
        <w:rPr>
          <w:b/>
          <w:bCs/>
        </w:rPr>
        <w:t xml:space="preserve"> be forwarded to the Director, Academic Labor Relations, at </w:t>
      </w:r>
      <w:hyperlink r:id="rId7" w:history="1">
        <w:r w:rsidRPr="003E23FD">
          <w:rPr>
            <w:rStyle w:val="Hyperlink"/>
          </w:rPr>
          <w:t>ALR-info@wmich.edu</w:t>
        </w:r>
      </w:hyperlink>
      <w:r w:rsidRPr="003E23FD">
        <w:rPr>
          <w:color w:val="222222"/>
        </w:rPr>
        <w:t xml:space="preserve">. It is not the role of ALR to change any review, but </w:t>
      </w:r>
      <w:r>
        <w:rPr>
          <w:color w:val="222222"/>
        </w:rPr>
        <w:t xml:space="preserve">rather </w:t>
      </w:r>
      <w:r w:rsidRPr="003E23FD">
        <w:rPr>
          <w:color w:val="222222"/>
        </w:rPr>
        <w:t>to track them for any impact on Senior Professional Instructor status.</w:t>
      </w:r>
    </w:p>
    <w:p w14:paraId="65B9DDB2" w14:textId="77777777" w:rsidR="0023442B" w:rsidRDefault="0023442B">
      <w:pPr>
        <w:pStyle w:val="BodyText"/>
        <w:spacing w:before="2"/>
      </w:pPr>
    </w:p>
    <w:sectPr w:rsidR="0023442B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CC36" w14:textId="77777777" w:rsidR="0009767B" w:rsidRDefault="0009767B" w:rsidP="0077239D">
      <w:r>
        <w:separator/>
      </w:r>
    </w:p>
  </w:endnote>
  <w:endnote w:type="continuationSeparator" w:id="0">
    <w:p w14:paraId="578FEAD3" w14:textId="77777777" w:rsidR="0009767B" w:rsidRDefault="0009767B" w:rsidP="0077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3163" w14:textId="77777777" w:rsidR="0009767B" w:rsidRDefault="0009767B" w:rsidP="0077239D">
      <w:r>
        <w:separator/>
      </w:r>
    </w:p>
  </w:footnote>
  <w:footnote w:type="continuationSeparator" w:id="0">
    <w:p w14:paraId="5D874656" w14:textId="77777777" w:rsidR="0009767B" w:rsidRDefault="0009767B" w:rsidP="0077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84207"/>
    <w:multiLevelType w:val="hybridMultilevel"/>
    <w:tmpl w:val="A1D4D6D4"/>
    <w:lvl w:ilvl="0" w:tplc="4148E4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A6F6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A7EC28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94EC0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E2A75F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B3E8E7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C0298E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5109CF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88058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582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2B"/>
    <w:rsid w:val="000210BE"/>
    <w:rsid w:val="0009767B"/>
    <w:rsid w:val="000A3CBE"/>
    <w:rsid w:val="0023442B"/>
    <w:rsid w:val="002C4A6E"/>
    <w:rsid w:val="003A3875"/>
    <w:rsid w:val="003D104F"/>
    <w:rsid w:val="003E23FD"/>
    <w:rsid w:val="00484B52"/>
    <w:rsid w:val="004A1815"/>
    <w:rsid w:val="00571B3E"/>
    <w:rsid w:val="005D065E"/>
    <w:rsid w:val="005E3EDE"/>
    <w:rsid w:val="006127E3"/>
    <w:rsid w:val="00634A21"/>
    <w:rsid w:val="0065369C"/>
    <w:rsid w:val="00656B2B"/>
    <w:rsid w:val="006B592A"/>
    <w:rsid w:val="0077239D"/>
    <w:rsid w:val="00807DF3"/>
    <w:rsid w:val="00963F2F"/>
    <w:rsid w:val="009C33A3"/>
    <w:rsid w:val="00A164B4"/>
    <w:rsid w:val="00AB1E4D"/>
    <w:rsid w:val="00AF45BC"/>
    <w:rsid w:val="00B30F10"/>
    <w:rsid w:val="00BC7D9D"/>
    <w:rsid w:val="00D619AE"/>
    <w:rsid w:val="00D8453C"/>
    <w:rsid w:val="00DD1EE3"/>
    <w:rsid w:val="00DF2C51"/>
    <w:rsid w:val="00E151FE"/>
    <w:rsid w:val="00F600DD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2C8C"/>
  <w15:docId w15:val="{9EA5D28B-9D39-4CA4-BA17-57D85C5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6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F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F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2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3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2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39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23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R-info@w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592</Words>
  <Characters>3516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WMU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N.Mansberger</dc:creator>
  <dc:description/>
  <cp:lastModifiedBy>Matthew S Mingus</cp:lastModifiedBy>
  <cp:revision>6</cp:revision>
  <dcterms:created xsi:type="dcterms:W3CDTF">2026-03-02T17:56:00Z</dcterms:created>
  <dcterms:modified xsi:type="dcterms:W3CDTF">2026-03-03T13:52:00Z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D:20171012172205</vt:lpwstr>
  </property>
</Properties>
</file>